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ACF05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Характеризуется малым диаметром частиц, низкой пористостью пены с хорошим распределением.
Обладает высокой кратностью обдува, что особенно важно для пенопластовых изделий без кремния и карбонатов.
Широко используется в производстве пластиков (ПВХ, ЭВА, ПП, ПЭ, ПС), а также в спортивной подошве, обоях и мягкой коже.
Свойство материала
Единицы измерения
Значение
Форма
-
порошок
Цвет
-
Бледно-жёлтый
Зольность
%
не более 0.8
Температура разложения
°С
200-210
Чистота
%
не менее 97
Объём газа
мл/г
не менее 220
Средний размер частиц
мкм
4.5-6.5
Потери при нагревании
%
не более 0.3
Хранение
1 год в прохладных и сухих условиях в заводской упаковке
Упаковка
по 25 кг в ПЭ баках
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bc/2mzpryr4oyzqwfrmm9bx321wap5t1f4w.pdf" target="_blank">TDS_ACF05_rus (pdf, 138.16кб)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