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HX-1688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HX-1688 низкомолекулярная углеводородная смола. Область применения производство термопластиков, клеев и дорожной разметки Основные характеристики легкая перерабатываемость, сродство с красителями, устойчив во времени Спецификация 
Свойство
Значение
Метод испытания
Внешний вид
Прозрачные бледно-жёлтые гранулы
Визуальный
Температура размягчения
100±2
GB/T4507
Цвет
4
4,5
ASTME-1544
Кислотность
≤1
GB2895
Вязкость (200 С, сПз)
250
ASTMD-3236
Температура вспышки
Согласно запросу от клиента
GB261/GB3536
Содержание брома (г Br/ 100 г)
Согласно запросу от клиента
 Упаковка:
Биг Бэги 500 кг, 1000 кг
Бумажные мешки по 25 кг
 Хранение Хранить в дали от нагревательных приборов и влаги, избегать температуры выше 30 °С. Производитель FushunHuaxing Petroleum ChemicalCo., LTD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