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BCR-858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Экстремально голубоватый оттенок BCR-858 представляет собой диоксид титана рутильной формы, полученный по хлоридной технологии. Марка специально разработана для суперконценратов и пластмасс. Поверхность пигмента обработана оксидом алюминия и органическими соединениями. Марка обладает экстремально голубоватым оттенком, высокой диспергируемостью, прекрасной атмосферостойкостью, характеризуется низкой маслоёмкостью и летучестью. Спецификация 
Параметр
Значение
Содержание диоксида титана, %
≥ 96.4
Обработка поверхности неорганическими соединениями
Al₂O₃
Обработка поверхности органическими соединениями
Да
Координата цвета L*
≥ 96.0
Координата цвета b*
≤ 0.8
Остаток на сите 0045
≤ 0.02
Маслоёмкость, г/100 г
≤ 17
Удельное сопротивление жидкости, Ом*м
≥ 80
Массовая доля летучих веществ при 105°С, %
≤ 0.5
 Рекомендованное применение Суперконцентраты, ПВХ и другие пластмассы Упаковка мешки по 25 кг, биг-бэги по 500 кг или 1000 кг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3c/e9dmwe72n3u57fzeruc0cym5otp2grqf.pdf" target="_blank">BCR-858_rus (pdf, 224.24кб)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