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BR-3661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Высокий блеск и диспергируемость BR-3661 представляет собой диоксид титана рутильной формы, полученный по сульфатной технологии. Марка специально разработана для типографических красок. Поверхность пигмента обработана диоксидом циркония, оксидом алюминия и органическими соединениями. Марка обладает голубоватым оттенком, высокой диспергируемостью и хорошими оптическими свойствами, характеризуется низкой маслоёмкостью. Спецификация 
Параметр
Значение
Содержание диоксида титана, %
≥ 93
Обработка поверхности неорганическими соединениями
ZrO2, Al₂O₃
Обработка поверхности органическими соединениями
Да
Разбеливающая способность, TCS
≥ 1950
Остаток на сите 0045
≤ 0.02
Маслоёмкость, г/100 г
≤ 19
Удельное сопротивление жидкости, Ом*м
≥ 100
 Рекомендованное применение - Типографические краски
- Чернила для обратной ламинированной печати
- Краски для поверхностной печати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c6/toln0vde3xg3pqddihweuez43e32oodg.pdf" target="_blank">BR-3661_rus (pdf, 268.71кб)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