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BR-3662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Гидрофобные свойства BR-3662 представляет собой диоксид титана рутильной формы, полученный по сульфатной технологии. Марка общего назначения. Поверхность пигмента обработана диоксидом циркония, оксидом алюминия и органическими соединениями. Марка обладает прекрасной белизной и высокой диспергируемостью. Спецификация 
Параметр
Значение
Содержание диоксида титана, %
≥ 93
Обработка поверхности неорганическими соединениями
ZrO₂, Al₂O₃
Обработка поверхности органическими соединениями
Да
Разбеливающая способность, TCS
≥ 1900
Остаток на сите 0045
≤ 0.02
Маслоёмкость, г/100 г
≤ 20
Удельное сопротивление жидкости, Ом*м
≥ 80
 Рекомендованное применение - Краски внутреннего и внешнего назначения
- Пластмассы
- Бумага
- Краски и чернила различных применений Упаковка мешки по 25 кг, биг-бэги по 500 кг или 1000 кг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b6/yx9dx0n360wdwaffhu4fn112c3ubm7nk.pdf" target="_blank">BR-3662_rus (pdf, 333.6кб)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