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BR-3663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Высокая атмосферостойкость BR-3663 представляет собой диоксид титана рутильной формы, полученный по сульфатной технологии. Марка разработана для дорожной разметки и ПВХ-изделий. Поверхность пигмента обработана диоксидом кремния, оксидом алюминия и органическими соединениями. Марка обладает превосходной термо- и атмосферостойкостью, высокой диспергируемостью. Спецификация 
Параметр
Значение
Содержание диоксида титана, %
≥ 93
Обработка поверхности неорганическими соединениями
SiO₂, Al₂O₃
Обработка поверхности органическими соединениями
Да
Разбеливающая способность, TCS
≥ 1980
Остаток на сите 0045
≤ 0.02
Маслоёмкость, г/100г
≤ 20
Удельное сопротивление жидкости, Ом*м
≥ 100
 Рекомендованное применение - Дорожная разметка
- Порошковые покрытия
- ПВХ-профили и трубы Упаковка мешки по 25 кг, биг-бэги по 500 кг или 1000 кг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a1/n8lr02vqlv81ihjt8m36va16w6y8btdf.pdf" target="_blank">BR-3663_rus (pdf, 337.21кб)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