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BR-3668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Высокая диспергируемость и устойчивость к пожелтению BR-3668 представляет собой диоксид титана рутильной формы, полученный по сульфатной технологии. Марка разработана для суперконцентратов и пластмасс. Поверхность пигмента обработана оксидом алюминия и органическими соединениями. Марка обладает высокой диспергируемостью и низкой маслоёмкостью. Спецификация 
Параметр
Значение
Содержание диоксида титана, %
≥ 96
Обработка поверхности неорганическими соединениями
Al₂O₃
Обработка поверхности органическими соединениями
Да
Разбеливающая способность, TCS
≥ 1900
Остаток на сите 0045
≤ 0.02
Маслоёмкость, г/100 г
≤ 17
 Рекомендованное применение - Суперконцентраты
- ПВХ и другие пластмассы Упаковка мешки по 25 кг, биг-бэги по 500 кг или 1000 кг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9f/vdjayz6crn5q3oo41a6m8x0c6kb4523m.pdf" target="_blank">BR-3668_rus (pdf, 327.48кб)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