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Бутадиен-стирольный латекс (SBR латекс)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KGL-3338
KGL-3616
HZ-3610
HZ-616
HZ-7303
HZ-5110
Внешний вид
эмульсия белого цвета
Содержание твердого вещества, %
50
50
50
50
48
46
Вязкость мПа*с
≤500
≤300
≤300
≤400
≤200
≤200
PH
7-9
6-8
7-9
6-8
8-10
7-9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a0/nllrkuxyjzf8cr60aqjaxf9q5mhi2wti.pdf" target="_blank">Бутадиен-стирольный латекс SBR latex (pdf, 1320.13кб)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