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standalone="yes"?>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w:body><w:p><w:pPr><w:pStyle w:val="Style16"/><w:rPr></w:rPr></w:pPr><w:r><w:rPr></w:rPr><w:drawing><wp:inline distT="0" distB="0" distL="0" distR="0"><wp:extent cx="3475990" cy="3508375"/><wp:effectExtent l="0" t="0" r="0" b="0"/><wp:docPr id="1" name="Изображение1" descr=""></wp:docPr><wp:cNvGraphicFramePr><a:graphicFrameLocks xmlns:a="http://schemas.openxmlformats.org/drawingml/2006/main" noChangeAspect="1"/></wp:cNvGraphicFramePr><a:graphic xmlns:a="http://schemas.openxmlformats.org/drawingml/2006/main"><a:graphicData uri="http://schemas.openxmlformats.org/drawingml/2006/picture"><pic:pic xmlns:pic="http://schemas.openxmlformats.org/drawingml/2006/picture"><pic:nvPicPr><pic:cNvPr id="1" name="Изображение1" descr=""></pic:cNvPr><pic:cNvPicPr><a:picLocks noChangeAspect="1" noChangeArrowheads="1"/></pic:cNvPicPr></pic:nvPicPr><pic:blipFill><a:blip r:embed="rId2"></a:blip><a:stretch><a:fillRect/></a:stretch></pic:blipFill><pic:spPr bwMode="auto"><a:xfrm><a:off x="0" y="0"/><a:ext cx="3475990" cy="3508375"/></a:xfrm><a:prstGeom prst="rect"><a:avLst/></a:prstGeom></pic:spPr></pic:pic></a:graphicData></a:graphic></wp:inline></w:drawing></w:r><w:r><w:rPr></w:rPr><w:t xml:space="preserve"> </w:t></w:r></w:p><w:p><w:pPr><w:pStyle w:val="1"/><w:rPr></w:rPr></w:pPr><w:r><w:rPr></w:rPr><w:t>DR-2589</w:t></w:r><w:r><w:rPr></w:rPr><w:t xml:space="preserve"> </w:t></w:r></w:p><w:p><w:pPr><w:pStyle w:val="Style16"/><w:spacing w:before="0" w:after="0"/><w:rPr></w:rPr></w:pPr><w:r><w:rPr></w:rPr><w:t>Наличие на складе:</w:t></w:r></w:p><w:p><w:pPr><w:pStyle w:val="Style16"/><w:spacing w:before="0" w:after="0"/><w:rPr></w:rPr></w:pPr><w:r><w:rPr></w:rPr><w:t></w:t></w:r><w:r><w:rPr></w:rPr><w:t xml:space="preserve"> </w:t></w:r></w:p><w:p><w:pPr><w:pStyle w:val="Style16"/><w:spacing w:before="0" w:after="0"/><w:rPr></w:rPr></w:pPr><w:r><w:rPr></w:rPr></w:r></w:p><w:p><w:pPr><w:pStyle w:val="Style16"/><w:spacing w:before="0" w:after="0"/><w:rPr></w:rPr></w:pPr><w:r><w:rPr></w:rPr><w:t>Наши преимущества</w:t></w:r></w:p><w:p><w:pPr><w:pStyle w:val="Style16"/><w:spacing w:before="0" w:after="0"/><w:rPr></w:rPr></w:pPr><w:r><w:rPr></w:rPr><w:t><w:p><w:pPr><w:pStyle w:val="Style16"/><w:spacing w:before="0" w:after="0"/><w:rPr></w:rPr></w:pPr><w:r><w:rPr></w:rPr><w:t>    - Нефтехимический концерн с мировым именем</w:t></w:r></w:p><w:p><w:pPr><w:pStyle w:val="Style16"/><w:spacing w:before="0" w:after="0"/><w:rPr></w:rPr></w:pPr><w:r><w:rPr></w:rPr><w:t>    - Бесплатная консультация технолога;
</w:t></w:r></w:p><w:p><w:pPr><w:pStyle w:val="Style16"/><w:spacing w:before="0" w:after="0"/><w:rPr></w:rPr></w:pPr><w:r><w:rPr></w:rPr><w:t>    - Доставка в любой город России и СНГ;
</w:t></w:r></w:p><w:p><w:pPr><w:pStyle w:val="Style16"/><w:spacing w:before="0" w:after="0"/><w:rPr></w:rPr></w:pPr><w:r><w:rPr></w:rPr><w:t>    - Прямые поставки от производителя;</w:t></w:r></w:p></w:t></w:r></w:p><w:p><w:pPr><w:pStyle w:val="Style16"/><w:spacing w:before="0" w:after="0"/><w:rPr></w:rPr></w:pPr><w:r><w:rPr></w:rPr></w:r></w:p><w:p><w:pPr><w:pStyle w:val="2"/><w:numPr><w:ilvl w:val="1"/><w:numId w:val="1"/></w:numPr><w:rPr></w:rPr></w:pPr><w:r><w:rPr></w:rPr><w:t>Описание</w:t></w:r></w:p><w:p><w:pPr><w:pStyle w:val="Style16"/><w:rPr></w:rPr></w:pPr><w:r><w:rPr></w:rPr><w:t>
Диоксид титана DR-2589 &mdash; специальный пигмент голубоватого оттенка в рутильной форме. Фасуется в мешки по 25, 500 или 1000 кг. 

  UCG поставляет диоксид титана от отечественных и зарубежных производителей. Для оформления заказа позвоните нашим менеджерам или оставьте заявку на сайте. 

  &mdash; Сопроводим сертификатами соответствия любую из позиций каталога.

  &mdash; Подберем сырье с учетом производственных потребностей.

  &mdash; Доставим груз на территорию вашего предприятия. Возможен самовывоз: в России работают десять крупных складов, в 2021 году открыт склад в Беларуси.

Особенности


   	Обрабатывается органическим кремнием, гидроксидом алюминия.     	Обладает хорошей сыпучестью, без проблем смешивается с другими составляющими.     	Легко окрашивается.     	Не имеет запаха.     	Зарекомендовал себя отличной кроющей способностью.     	Характеризуется прекрасной дисперсностью, технологичностью.     	Проявляет низкую гигроскопичность во время изготовления пластмасс.     	Улучшает показатели термо-, атмосферо- и светостойкости пластиков, повышает их механические свойства.     	Выводить на новый уровень изоляционные характеристики кабельной продукции.     	Хранится в прохладном месте в плотно закупоренной таре вдали от источников тепла.  



Свойства


   	Удельный вес &mdash; 4,0 г/см3     	рН водной суспензии &mdash; 6,5-8,5     	Максимальная растворимость в воде &mdash; 0,3%  



Применение


   	Необходим для изготовления стойких к ультрафиолетовому излучению пластиков, сополимеров, пластифицированного ПВХ, профильной продукции.     	Используется для производства различных видов красок, штукатурки, шпаклевки, лаков, эмалей.     	Требуется для выпуска керамики, резины, тротуарной плитки, бордюров, куполов на забор.  



Диоксид титана DR-2589 с доставкой по России и в страны СНГ 
  ЮСИДЖИ реализует материалы для различных секторов промышленности. Штатный технолог даст рекомендации по первому запуску производственной линии, специалист отдела логистики составит оптимальный маршрут доставки. При необходимости предоставим бесплатные образцы сырья. 


Звоните. Мы работаем для вас.
</w:t></w:r></w:p><w:p><w:pPr><w:pStyle w:val="Style16"/><w:spacing w:before="0" w:after="0"/><w:rPr></w:rPr></w:pPr><w:r><w:rPr></w:rPr><w:t>Технические характеристики</w:t></w:r></w:p><w:p><w:pPr><w:pStyle w:val="Style16"/><w:spacing w:before="0" w:after="0"/><w:rPr></w:rPr></w:pPr><w:r><w:rPr></w:rPr><w:t><a href="/upload/iblock/58e/9k63rsg1hwx6s4ki09amxa71210t69i1.pdf" target="_blank">DR-2589 new_TDS (pdf, 278.85кб)</a></w:t></w:r></w:p><w:p><w:pPr><w:pStyle w:val="Style16"/><w:spacing w:before="0" w:after="0"/><w:rPr></w:rPr></w:pPr><w:r><w:rPr></w:rPr></w:r></w:p><w:p><w:pPr><w:pStyle w:val="Style16"/><w:spacing w:before="0" w:after="0"/><w:rPr></w:rPr></w:pPr><w:r><w:rPr></w:rPr><w:t>Свойства марки</w:t></w:r></w:p><w:p><w:pPr><w:pStyle w:val="Style16"/><w:spacing w:before="0" w:after="0"/><w:rPr></w:rPr></w:pPr><w:r><w:rPr></w:rPr><w:t>Имеет голубоватый оттенок, сочетает легкость окраски и отличную кроющую способность. Специальная обработка неорганическими соединениями защищает поверхность Tio 2 от воздействия полимеров или добавок. Обработка органическими соединениями обеспечивает DR 2589 отличную дисперсность технологичность и низкую гигроскопичность при производстве пластмасс.&nbsp;<br></w:t></w:r><w:r><w:rPr></w:rPr><w:t xml:space="preserve"> </w:t></w:r></w:p><w:p><w:pPr><w:pStyle w:val="Style16"/><w:spacing w:before="0" w:after="0"/><w:rPr></w:rPr></w:pPr><w:r><w:rPr></w:rPr></w:r></w:p><w:p><w:pPr><w:pStyle w:val="Style16"/><w:spacing w:before="0" w:after="0"/><w:rPr></w:rPr></w:pPr><w:r><w:rPr></w:rPr><w:t>Доступна фасовка</w:t></w:r></w:p><w:p><w:pPr><w:pStyle w:val="Style16"/><w:spacing w:before="0" w:after="0"/><w:rPr></w:rPr></w:pPr><w:r><w:rPr></w:rPr><w:t>#фасовка#</w:t></w:r></w:p><w:sectPr><w:type w:val="nextPage"/><w:pgSz w:w="11906" w:h="16838"/><w:pgMar w:left="1134" w:right="567" w:header="0" w:top="567" w:footer="0" w:bottom="567" w:gutter="0"/><w:pgNumType w:fmt="decimal"/><w:formProt w:val="false"/><w:textDirection w:val="lrTb"/><w:docGrid w:type="default" w:linePitch="100" w:charSpace="0"/></w:sectPr></w:body></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