
<file path=[Content_Types].xml><?xml version="1.0" encoding="utf-8"?>
<Types xmlns="http://schemas.openxmlformats.org/package/2006/content-types">
  <Override PartName="/_rels/.rels" ContentType="application/vnd.openxmlformats-package.relationships+xml"/>
  <Override PartName="/docProps/app.xml" ContentType="application/vnd.openxmlformats-officedocument.extended-properties+xml"/>
  <Override PartName="/docProps/core.xml" ContentType="application/vnd.openxmlformats-package.core-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Style16"/>
        <w:rPr/>
      </w:pPr>
      <w:r>
        <w:rPr/>
        <w:drawing>
          <wp:inline distT="0" distB="0" distL="0" distR="0">
            <wp:extent cx="3475990" cy="350837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3475990" cy="3508375"/>
                    </a:xfrm>
                    <a:prstGeom prst="rect">
                      <a:avLst/>
                    </a:prstGeom>
                  </pic:spPr>
                </pic:pic>
              </a:graphicData>
            </a:graphic>
          </wp:inline>
        </w:drawing>
      </w:r>
      <w:r>
        <w:rPr/>
        <w:t xml:space="preserve"> </w:t>
      </w:r>
    </w:p>
    <w:p>
      <w:pPr>
        <w:pStyle w:val="1"/>
        <w:rPr/>
      </w:pPr>
      <w:r>
        <w:rPr/>
        <w:t>ДСТ Л 30-01 порошок/гранулы</w:t>
      </w:r>
      <w:r>
        <w:rPr/>
        <w:t xml:space="preserve"> </w:t>
      </w:r>
    </w:p>
    <w:p>
      <w:pPr>
        <w:pStyle w:val="Style16"/>
        <w:spacing w:before="0" w:after="0"/>
        <w:rPr/>
      </w:pPr>
      <w:r>
        <w:rPr/>
        <w:t>Наличие на складе:</w:t>
      </w:r>
    </w:p>
    <w:p>
      <w:pPr>
        <w:pStyle w:val="Style16"/>
        <w:spacing w:before="0" w:after="0"/>
        <w:rPr/>
      </w:pPr>
      <w:r>
        <w:rPr/>
        <w:t/>
      </w:r>
      <w:r>
        <w:rPr/>
        <w:t xml:space="preserve"> </w:t>
      </w:r>
    </w:p>
    <w:p>
      <w:pPr>
        <w:pStyle w:val="Style16"/>
        <w:spacing w:before="0" w:after="0"/>
        <w:rPr/>
      </w:pPr>
      <w:r>
        <w:rPr/>
      </w:r>
    </w:p>
    <w:p>
      <w:pPr>
        <w:pStyle w:val="Style16"/>
        <w:spacing w:before="0" w:after="0"/>
        <w:rPr/>
      </w:pPr>
      <w:r>
        <w:rPr/>
        <w:t>Наши преимущества</w:t>
      </w:r>
    </w:p>
    <w:p>
      <w:pPr>
        <w:pStyle w:val="Style16"/>
        <w:spacing w:before="0" w:after="0"/>
        <w:rPr/>
      </w:pPr>
      <w:r>
        <w:rPr/>
        <w:t>
          <w:p>
            <w:pPr>
              <w:pStyle w:val="Style16"/>
              <w:spacing w:before="0" w:after="0"/>
              <w:rPr/>
            </w:pPr>
            <w:r>
              <w:rPr/>
              <w:t>    - Крупнейшая в России интегрированная нефтехимическая компания.</w:t>
            </w:r>
          </w:p>
          <w:p>
            <w:pPr>
              <w:pStyle w:val="Style16"/>
              <w:spacing w:before="0" w:after="0"/>
              <w:rPr/>
            </w:pPr>
            <w:r>
              <w:rPr/>
              <w:t>    - Бесплатная консультация технолога;
</w:t>
            </w:r>
          </w:p>
          <w:p>
            <w:pPr>
              <w:pStyle w:val="Style16"/>
              <w:spacing w:before="0" w:after="0"/>
              <w:rPr/>
            </w:pPr>
            <w:r>
              <w:rPr/>
              <w:t>    - Доставка в любой город России и СНГ;
</w:t>
            </w:r>
          </w:p>
          <w:p>
            <w:pPr>
              <w:pStyle w:val="Style16"/>
              <w:spacing w:before="0" w:after="0"/>
              <w:rPr/>
            </w:pPr>
            <w:r>
              <w:rPr/>
              <w:t>    - Прямые поставки от производителя;</w:t>
            </w:r>
          </w:p>
        </w:t>
      </w:r>
    </w:p>
    <w:p>
      <w:pPr>
        <w:pStyle w:val="Style16"/>
        <w:spacing w:before="0" w:after="0"/>
        <w:rPr/>
      </w:pPr>
      <w:r>
        <w:rPr/>
      </w:r>
    </w:p>
    <w:p>
      <w:pPr>
        <w:pStyle w:val="2"/>
        <w:numPr>
          <w:ilvl w:val="1"/>
          <w:numId w:val="1"/>
        </w:numPr>
        <w:rPr/>
      </w:pPr>
      <w:r>
        <w:rPr/>
        <w:t>Описание</w:t>
      </w:r>
    </w:p>
    <w:p>
      <w:pPr>
        <w:pStyle w:val="Style16"/>
        <w:rPr/>
      </w:pPr>
      <w:r>
        <w:rPr/>
        <w:t>
 ДСТ Л 30-01 представляет собой продукт блоксополимеризации стирола и бутадиена в растворе углеводородов при наличии литийорганического катализатора. Промышленное предприятие «СИБУР» выпускает термоэластопласт в виде гранул или порошка белого (светло-бежевого) цвета. Существует два вида упаковки бутадиен-стирольного блок-сополимера: мешки по 12 кг (порошок) или биг-бэги 800 кг (гранулы). Срок хранения сырья — один год с даты производства.
  Компания UCG предлагает купить СБС разных марок, в том числе линейных и радиальных. Чтобы оформить заказ оптовой партии SBS, оставьте заявку на сайте или позвоните нашим менеджерам. Если есть вопросы по ассортименту товара, характеристикам марок, особенностям их переработки, заполните форму обратного звонка. Наш технолог свяжется с вами для бесплатной консультации.
  — Рассчитаем стоимость заказа, принимая во внимание объем партии и место доставки груза.
  — Организуем работу по доставке сырья на предприятие России или стран ближнего зарубежья. Возможен самовывоз.
  — Сопроводим все товары лицензиями и сертификатами соответствия.
Свойства 
   	 Стабилизирован нетемнеющими антиоксидантами. 
    	 Опудрен стеаратом кальция или диоксидом кремния. 
    	 Сочетает в себе эластичность и прочность. 
    	 Обеспечивает выпуск изделий с высокой износостойкостью. 
    	 Кинематическая вязкость 5,23% раствора в толуоле при 25˚С — 14 ± 5 сСт 
    	 Массовая доля летучих веществ ≤ 0,8% 
    	 Массовая доля золы при опудривании стеаратом кальция ≤ 0,3% 
    	 Массовая доля золы при опудривании диоксидом кремния ≤ 1,0% 
   	 Содержание связанного стирола — 30 ± 1,5% 
    	 Показатель текучести расплава при 190°C и 5 кгс &lt; 1 г/10 мин. 
    	 Условная прочность при растяжении ≥ 14,7 МПа 
    	 Модуль упругости при удлинении 300 % ≥ 2,7 МПа 
    	 Относительное удлинение при разрыве ≥ 700% 
    	 Твердость по Шору А — 72 ± 5 
Применение
  Требуется для изготовления клеев, ленточного герметика, адгезивов, обувных композиций. Используется для производства мастики, кровельных и дорожных материалов. Модифицирует пластмассы и битумы. Необходим для выпуска деталей, которые востребованы в электронной и электротехнической промышленности.
Оптовые поставки ДСТ Л 30-01 
  С 2005 года компания UCG сотрудничает с мировыми компания-производителями продуктов нефтехимии. Закрываем потребности в качественном сырье для таких сегментов рынка, как дорожное строительство, машиностроение, электроника, радиотехника, производство обуви, проводов.
 Компания UCG ведет заказ от А до Я: выявление потребности, подбор необходимых марок сырья, при необходимости помощь при запуске производства, расчет стоимости, доставка на предприятие.
</w:t>
      </w:r>
    </w:p>
    <w:p>
      <w:pPr>
        <w:pStyle w:val="Style16"/>
        <w:spacing w:before="0" w:after="0"/>
        <w:rPr/>
      </w:pPr>
      <w:r>
        <w:rPr/>
        <w:t>Технические характеристики</w:t>
      </w:r>
    </w:p>
    <w:p>
      <w:pPr>
        <w:pStyle w:val="Style16"/>
        <w:spacing w:before="0" w:after="0"/>
        <w:rPr/>
      </w:pPr>
      <w:r>
        <w:rPr/>
        <w:t>#характеристики#</w:t>
      </w:r>
    </w:p>
    <w:p>
      <w:pPr>
        <w:pStyle w:val="Style16"/>
        <w:spacing w:before="0" w:after="0"/>
        <w:rPr/>
      </w:pPr>
      <w:r>
        <w:rPr/>
      </w:r>
    </w:p>
    <w:p>
      <w:pPr>
        <w:pStyle w:val="Style16"/>
        <w:spacing w:before="0" w:after="0"/>
        <w:rPr/>
      </w:pPr>
      <w:r>
        <w:rPr/>
        <w:t>Свойства марки</w:t>
      </w:r>
    </w:p>
    <w:p>
      <w:pPr>
        <w:pStyle w:val="Style16"/>
        <w:spacing w:before="0" w:after="0"/>
        <w:rPr/>
      </w:pPr>
      <w:r>
        <w:rPr/>
        <w:t>ДСТ Л 30-01 порошок/гранулы</w:t>
      </w:r>
      <w:r>
        <w:rPr/>
        <w:t xml:space="preserve"> </w:t>
      </w:r>
    </w:p>
    <w:p>
      <w:pPr>
        <w:pStyle w:val="Style16"/>
        <w:spacing w:before="0" w:after="0"/>
        <w:rPr/>
      </w:pPr>
      <w:r>
        <w:rPr/>
      </w:r>
    </w:p>
    <w:p>
      <w:pPr>
        <w:pStyle w:val="Style16"/>
        <w:spacing w:before="0" w:after="0"/>
        <w:rPr/>
      </w:pPr>
      <w:r>
        <w:rPr/>
        <w:t>Доступна фасовка</w:t>
      </w:r>
    </w:p>
    <w:p>
      <w:pPr>
        <w:pStyle w:val="Style16"/>
        <w:spacing w:before="0" w:after="0"/>
        <w:rPr/>
      </w:pPr>
      <w:r>
        <w:rPr/>
        <w:t>#фасовка#</w:t>
      </w:r>
    </w:p>
    <w:sectPr>
      <w:type w:val="nextPage"/>
      <w:pgSz w:w="11906" w:h="16838"/>
      <w:pgMar w:left="1134" w:right="567" w:header="0" w:top="567" w:footer="0" w:bottom="567"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PT Sans">
    <w:charset w:val="01"/>
    <w:family w:val="swiss"/>
    <w:pitch w:val="variable"/>
  </w:font>
  <w:font w:name="Liberation Serif">
    <w:altName w:val="Times New Roman"/>
    <w:charset w:val="01"/>
    <w:family w:val="swiss"/>
    <w:pitch w:val="variable"/>
  </w:font>
  <w:font w:name="OpenSymbol">
    <w:altName w:val="Arial Unicode MS"/>
    <w:charset w:val="01"/>
    <w:family w:val="roman"/>
    <w:pitch w:val="variable"/>
  </w:font>
  <w:font w:name="Albany">
    <w:altName w:val="Arial"/>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pStyle w:val="2"/>
      <w:numFmt w:val="none"/>
      <w:suff w:val="nothing"/>
      <w:lvlText w:val=""/>
      <w:lvlJc w:val="left"/>
      <w:pPr>
        <w:ind w:left="0" w:hanging="0"/>
      </w:pPr>
    </w:lvl>
    <w:lvl w:ilvl="2">
      <w:start w:val="1"/>
      <w:pStyle w:val="3"/>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0"/>
  <w:defaultTabStop w:val="709"/>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ource Han Sans CN Regular" w:cs="Lohit Devanagari"/>
        <w:szCs w:val="24"/>
        <w:lang w:val="ru-RU" w:eastAsia="zh-CN" w:bidi="hi-IN"/>
      </w:rPr>
    </w:rPrDefault>
    <w:pPrDefault>
      <w:pPr/>
    </w:pPrDefault>
  </w:docDefaults>
  <w:style w:type="paragraph" w:styleId="Normal">
    <w:name w:val="Normal"/>
    <w:qFormat/>
    <w:pPr>
      <w:widowControl w:val="false"/>
      <w:bidi w:val="0"/>
      <w:jc w:val="left"/>
    </w:pPr>
    <w:rPr>
      <w:rFonts w:ascii="Liberation Serif" w:hAnsi="Liberation Serif" w:eastAsia="Source Han Sans CN Regular" w:cs="Lohit Devanagari"/>
      <w:color w:val="00000A"/>
      <w:kern w:val="0"/>
      <w:sz w:val="24"/>
      <w:szCs w:val="24"/>
      <w:lang w:val="ru-RU" w:eastAsia="zh-CN" w:bidi="hi-IN"/>
    </w:rPr>
  </w:style>
  <w:style w:type="paragraph" w:styleId="1">
    <w:name w:val="Heading 1"/>
    <w:basedOn w:val="Style15"/>
    <w:qFormat/>
    <w:pPr>
      <w:spacing w:before="240" w:after="300"/>
      <w:jc w:val="left"/>
    </w:pPr>
    <w:rPr>
      <w:rFonts w:ascii="PT Sans" w:hAnsi="PT Sans" w:eastAsia="PT Sans" w:cs="PT Sans"/>
      <w:b/>
      <w:bCs/>
      <w:caps/>
      <w:color w:val="201E1E"/>
      <w:sz w:val="36"/>
      <w:szCs w:val="36"/>
    </w:rPr>
  </w:style>
  <w:style w:type="paragraph" w:styleId="2">
    <w:name w:val="Heading 2"/>
    <w:basedOn w:val="Style15"/>
    <w:qFormat/>
    <w:pPr>
      <w:numPr>
        <w:ilvl w:val="1"/>
        <w:numId w:val="1"/>
      </w:numPr>
      <w:spacing w:before="200" w:after="120"/>
      <w:outlineLvl w:val="1"/>
    </w:pPr>
    <w:rPr>
      <w:rFonts w:ascii="Liberation Serif" w:hAnsi="Liberation Serif" w:eastAsia="Source Han Sans CN Regular" w:cs="Lohit Devanagari"/>
      <w:b/>
      <w:bCs/>
      <w:sz w:val="36"/>
      <w:szCs w:val="36"/>
    </w:rPr>
  </w:style>
  <w:style w:type="paragraph" w:styleId="3">
    <w:name w:val="Heading 3"/>
    <w:basedOn w:val="Style15"/>
    <w:qFormat/>
    <w:pPr>
      <w:numPr>
        <w:ilvl w:val="2"/>
        <w:numId w:val="1"/>
      </w:numPr>
      <w:spacing w:before="140" w:after="120"/>
      <w:outlineLvl w:val="2"/>
    </w:pPr>
    <w:rPr>
      <w:rFonts w:ascii="Liberation Serif" w:hAnsi="Liberation Serif" w:eastAsia="Source Han Sans CN Regular" w:cs="Lohit Devanagari"/>
      <w:b/>
      <w:bCs/>
      <w:sz w:val="28"/>
      <w:szCs w:val="28"/>
    </w:rPr>
  </w:style>
  <w:style w:type="character" w:styleId="Style11">
    <w:name w:val="Символы концевой сноски"/>
    <w:qFormat/>
    <w:rPr/>
  </w:style>
  <w:style w:type="character" w:styleId="Style12">
    <w:name w:val="Символ сноски"/>
    <w:qFormat/>
    <w:rPr/>
  </w:style>
  <w:style w:type="character" w:styleId="Style13">
    <w:name w:val="Интернет-ссылка"/>
    <w:rPr>
      <w:color w:val="000080"/>
      <w:u w:val="single"/>
    </w:rPr>
  </w:style>
  <w:style w:type="character" w:styleId="Style14">
    <w:name w:val="Маркеры списка"/>
    <w:qFormat/>
    <w:rPr>
      <w:rFonts w:ascii="OpenSymbol" w:hAnsi="OpenSymbol" w:eastAsia="OpenSymbol" w:cs="OpenSymbol"/>
    </w:rPr>
  </w:style>
  <w:style w:type="character" w:styleId="Lang">
    <w:name w:val="lang"/>
    <w:qFormat/>
    <w:rPr/>
  </w:style>
  <w:style w:type="character" w:styleId="ListLabel1">
    <w:name w:val="ListLabel 1"/>
    <w:qFormat/>
    <w:rPr>
      <w:rFonts w:cs="OpenSymbol"/>
    </w:rPr>
  </w:style>
  <w:style w:type="character" w:styleId="ListLabel2">
    <w:name w:val="ListLabel 2"/>
    <w:qFormat/>
    <w:rPr>
      <w:rFonts w:cs="OpenSymbol"/>
    </w:rPr>
  </w:style>
  <w:style w:type="character" w:styleId="ListLabel3">
    <w:name w:val="ListLabel 3"/>
    <w:qFormat/>
    <w:rPr>
      <w:rFonts w:cs="OpenSymbol"/>
    </w:rPr>
  </w:style>
  <w:style w:type="character" w:styleId="ListLabel4">
    <w:name w:val="ListLabel 4"/>
    <w:qFormat/>
    <w:rPr>
      <w:rFonts w:cs="OpenSymbol"/>
    </w:rPr>
  </w:style>
  <w:style w:type="character" w:styleId="ListLabel5">
    <w:name w:val="ListLabel 5"/>
    <w:qFormat/>
    <w:rPr>
      <w:rFonts w:cs="OpenSymbol"/>
    </w:rPr>
  </w:style>
  <w:style w:type="character" w:styleId="ListLabel6">
    <w:name w:val="ListLabel 6"/>
    <w:qFormat/>
    <w:rPr>
      <w:rFonts w:cs="OpenSymbol"/>
    </w:rPr>
  </w:style>
  <w:style w:type="character" w:styleId="ListLabel7">
    <w:name w:val="ListLabel 7"/>
    <w:qFormat/>
    <w:rPr>
      <w:rFonts w:cs="OpenSymbol"/>
    </w:rPr>
  </w:style>
  <w:style w:type="character" w:styleId="ListLabel8">
    <w:name w:val="ListLabel 8"/>
    <w:qFormat/>
    <w:rPr>
      <w:rFonts w:cs="OpenSymbol"/>
    </w:rPr>
  </w:style>
  <w:style w:type="character" w:styleId="ListLabel9">
    <w:name w:val="ListLabel 9"/>
    <w:qFormat/>
    <w:rPr>
      <w:rFonts w:cs="OpenSymbol"/>
    </w:rPr>
  </w:style>
  <w:style w:type="paragraph" w:styleId="Style15">
    <w:name w:val="Заголовок"/>
    <w:basedOn w:val="Normal"/>
    <w:next w:val="Style16"/>
    <w:qFormat/>
    <w:pPr>
      <w:keepNext w:val="true"/>
      <w:spacing w:before="240" w:after="283"/>
    </w:pPr>
    <w:rPr>
      <w:rFonts w:ascii="Albany" w:hAnsi="Albany"/>
      <w:sz w:val="28"/>
      <w:szCs w:val="26"/>
    </w:rPr>
  </w:style>
  <w:style w:type="paragraph" w:styleId="Style16">
    <w:name w:val="Body Text"/>
    <w:basedOn w:val="Normal"/>
    <w:pPr>
      <w:spacing w:before="0" w:after="283"/>
    </w:pPr>
    <w:rPr/>
  </w:style>
  <w:style w:type="paragraph" w:styleId="Style17">
    <w:name w:val="List"/>
    <w:basedOn w:val="Style16"/>
    <w:pPr/>
    <w:rPr>
      <w:rFonts w:cs="Lohit Devanagari"/>
    </w:rPr>
  </w:style>
  <w:style w:type="paragraph" w:styleId="Style18">
    <w:name w:val="Caption"/>
    <w:basedOn w:val="Normal"/>
    <w:qFormat/>
    <w:pPr>
      <w:suppressLineNumbers/>
      <w:spacing w:before="120" w:after="120"/>
    </w:pPr>
    <w:rPr>
      <w:rFonts w:cs="Lohit Devanagari"/>
      <w:i/>
      <w:iCs/>
      <w:sz w:val="24"/>
      <w:szCs w:val="24"/>
    </w:rPr>
  </w:style>
  <w:style w:type="paragraph" w:styleId="Style19">
    <w:name w:val="Указатель"/>
    <w:basedOn w:val="Normal"/>
    <w:qFormat/>
    <w:pPr>
      <w:suppressLineNumbers/>
    </w:pPr>
    <w:rPr>
      <w:rFonts w:cs="Lohit Devanagari"/>
    </w:rPr>
  </w:style>
  <w:style w:type="paragraph" w:styleId="Style20">
    <w:name w:val="Горизонтальная линия"/>
    <w:basedOn w:val="Normal"/>
    <w:qFormat/>
    <w:pPr>
      <w:pBdr>
        <w:bottom w:val="double" w:sz="2" w:space="0" w:color="808080"/>
      </w:pBdr>
      <w:spacing w:before="0" w:after="283"/>
    </w:pPr>
    <w:rPr>
      <w:sz w:val="12"/>
    </w:rPr>
  </w:style>
  <w:style w:type="paragraph" w:styleId="Style21">
    <w:name w:val="Envelope Return"/>
    <w:basedOn w:val="Normal"/>
    <w:pPr/>
    <w:rPr>
      <w:i/>
    </w:rPr>
  </w:style>
  <w:style w:type="paragraph" w:styleId="Style22">
    <w:name w:val="Содержимое таблицы"/>
    <w:basedOn w:val="Style16"/>
    <w:qFormat/>
    <w:pPr/>
    <w:rPr/>
  </w:style>
  <w:style w:type="paragraph" w:styleId="Style23">
    <w:name w:val="Footer"/>
    <w:basedOn w:val="Normal"/>
    <w:pPr>
      <w:suppressLineNumbers/>
      <w:tabs>
        <w:tab w:val="center" w:pos="4818" w:leader="none"/>
        <w:tab w:val="right" w:pos="9637" w:leader="none"/>
      </w:tabs>
    </w:pPr>
    <w:rPr/>
  </w:style>
  <w:style w:type="paragraph" w:styleId="Style24">
    <w:name w:val="Header"/>
    <w:basedOn w:val="Normal"/>
    <w:pPr>
      <w:suppressLineNumbers/>
      <w:tabs>
        <w:tab w:val="center" w:pos="4818" w:leader="none"/>
        <w:tab w:val="right" w:pos="9637"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7</TotalTime>
  <Application>LibreOffice/5.4.6.2$Linux_X86_64 LibreOffice_project/40$Build-2</Application>
  <Pages>1</Pages>
  <Words>19</Words>
  <Characters>170</Characters>
  <CharactersWithSpaces>180</CharactersWithSpaces>
  <Paragraphs>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ru-RU</dc:language>
  <cp:lastModifiedBy/>
  <dcterms:modified xsi:type="dcterms:W3CDTF">2018-06-14T09:42:48Z</dcterms:modified>
  <cp:revision>2</cp:revision>
  <dc:subject/>
  <dc:title/>
</cp:coreProperties>
</file>