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PVC Hanwha EL-103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ПВХ смола пастообразующая (гомополимер) Применение Производство виниловых обоев на бумажной и флизелиновой основе, шелкография. Свойства Высокая вязкость, отличные свойства вспенивания при низких температурах и высока степень белизны. Реология: ньютоновское течение Характеристики ПВХ смолы 
   Ед. изм Значение Стандарт
 Степень полимеризации - 900±50 JIS D6720-2
 K (константа Фикентчера) - 63 DIN53726
 Насыпная плотность г/см³ 0.28±0.07 ASTM D1895
 Содержание летучих веществ % - ASTM D3030
 Размер частиц % 100 100 сетка
 Вязкость по Брукфильду (с ПЗ/6об/мин)  &lt;20000 ASTM D1824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2b/ci2771axlac7ofigl69utemqouix8ti7.pdf" target="_blank">TDS_PVC_EL-103 (pdf, 485.45кб)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