
<file path=[Content_Types].xml><?xml version="1.0" encoding="utf-8"?>
<Types xmlns="http://schemas.openxmlformats.org/package/2006/content-types">
  <Override PartName="/_rels/.rels" ContentType="application/vnd.openxmlformats-package.relationships+xml"/>
  <Override PartName="/docProps/app.xml" ContentType="application/vnd.openxmlformats-officedocument.extended-properties+xml"/>
  <Override PartName="/docProps/core.xml" ContentType="application/vnd.openxmlformats-package.core-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standalone="yes"?>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w:body><w:p><w:pPr><w:pStyle w:val="Style16"/><w:rPr></w:rPr></w:pPr><w:r><w:rPr></w:rPr><w:drawing><wp:inline distT="0" distB="0" distL="0" distR="0"><wp:extent cx="3475990" cy="3508375"/><wp:effectExtent l="0" t="0" r="0" b="0"/><wp:docPr id="1" name="Изображение1" descr=""></wp:docPr><wp:cNvGraphicFramePr><a:graphicFrameLocks xmlns:a="http://schemas.openxmlformats.org/drawingml/2006/main" noChangeAspect="1"/></wp:cNvGraphicFramePr><a:graphic xmlns:a="http://schemas.openxmlformats.org/drawingml/2006/main"><a:graphicData uri="http://schemas.openxmlformats.org/drawingml/2006/picture"><pic:pic xmlns:pic="http://schemas.openxmlformats.org/drawingml/2006/picture"><pic:nvPicPr><pic:cNvPr id="1" name="Изображение1" descr=""></pic:cNvPr><pic:cNvPicPr><a:picLocks noChangeAspect="1" noChangeArrowheads="1"/></pic:cNvPicPr></pic:nvPicPr><pic:blipFill><a:blip r:embed="rId2"></a:blip><a:stretch><a:fillRect/></a:stretch></pic:blipFill><pic:spPr bwMode="auto"><a:xfrm><a:off x="0" y="0"/><a:ext cx="3475990" cy="3508375"/></a:xfrm><a:prstGeom prst="rect"><a:avLst/></a:prstGeom></pic:spPr></pic:pic></a:graphicData></a:graphic></wp:inline></w:drawing></w:r><w:r><w:rPr></w:rPr><w:t xml:space="preserve"> </w:t></w:r></w:p><w:p><w:pPr><w:pStyle w:val="1"/><w:rPr></w:rPr></w:pPr><w:r><w:rPr></w:rPr><w:t>Globalene PT231</w:t></w:r><w:r><w:rPr></w:rPr><w:t xml:space="preserve"> </w:t></w:r></w:p><w:p><w:pPr><w:pStyle w:val="Style16"/><w:spacing w:before="0" w:after="0"/><w:rPr></w:rPr></w:pPr><w:r><w:rPr></w:rPr><w:t>Наличие на складе:</w:t></w:r></w:p><w:p><w:pPr><w:pStyle w:val="Style16"/><w:spacing w:before="0" w:after="0"/><w:rPr></w:rPr></w:pPr><w:r><w:rPr></w:rPr><w:t></w:t></w:r><w:r><w:rPr></w:rPr><w:t xml:space="preserve"> </w:t></w:r></w:p><w:p><w:pPr><w:pStyle w:val="Style16"/><w:spacing w:before="0" w:after="0"/><w:rPr></w:rPr></w:pPr><w:r><w:rPr></w:rPr></w:r></w:p><w:p><w:pPr><w:pStyle w:val="Style16"/><w:spacing w:before="0" w:after="0"/><w:rPr></w:rPr></w:pPr><w:r><w:rPr></w:rPr><w:t>Наши преимущества</w:t></w:r></w:p><w:p><w:pPr><w:pStyle w:val="Style16"/><w:spacing w:before="0" w:after="0"/><w:rPr></w:rPr></w:pPr><w:r><w:rPr></w:rPr><w:t><w:p><w:pPr><w:pStyle w:val="Style16"/><w:spacing w:before="0" w:after="0"/><w:rPr></w:rPr></w:pPr><w:r><w:rPr></w:rPr><w:t>    - Нефтехимическая компания LCY: самые современные технологии для производства&nbsp;SBS,&nbsp;SEBS,&nbsp;SIS,&nbsp;PP.</w:t></w:r></w:p><w:p><w:pPr><w:pStyle w:val="Style16"/><w:spacing w:before="0" w:after="0"/><w:rPr></w:rPr></w:pPr><w:r><w:rPr></w:rPr><w:t>    - Бесплатная консультация технолога;
</w:t></w:r></w:p><w:p><w:pPr><w:pStyle w:val="Style16"/><w:spacing w:before="0" w:after="0"/><w:rPr></w:rPr></w:pPr><w:r><w:rPr></w:rPr><w:t>    - Доставка в любой город России и СНГ;
</w:t></w:r></w:p><w:p><w:pPr><w:pStyle w:val="Style16"/><w:spacing w:before="0" w:after="0"/><w:rPr></w:rPr></w:pPr><w:r><w:rPr></w:rPr><w:t>    - Прямые поставки от производителя;</w:t></w:r></w:p></w:t></w:r></w:p><w:p><w:pPr><w:pStyle w:val="Style16"/><w:spacing w:before="0" w:after="0"/><w:rPr></w:rPr></w:pPr><w:r><w:rPr></w:rPr></w:r></w:p><w:p><w:pPr><w:pStyle w:val="2"/><w:numPr><w:ilvl w:val="1"/><w:numId w:val="1"/></w:numPr><w:rPr></w:rPr></w:pPr><w:r><w:rPr></w:rPr><w:t>Описание</w:t></w:r></w:p><w:p><w:pPr><w:pStyle w:val="Style16"/><w:rPr></w:rPr></w:pPr><w:r><w:rPr></w:rPr><w:t>
 Globalene PT231 — гомополимер полипропилена от LCY CHEMICAL CORP (Тайвань). Поставляется в гранулированном виде. Фасуется в мешки из полиэтилена по 25 кг. Перерабатывается методом тонкостенного литья под давлением.

  Чтобы купить ПП, закажите звонок на нашем сайте. Наши менеджеры расскажут об условиях сотрудничества, сроках поставки.

  — Сделаем расчет стоимости партии. Цена зависит от объема заказа.

  — Сопроводим материалы сертификатами соответствия.

  — После оплаты быстро отгрузим сырье, так как храним запасы полимеров на шести складах собственной сети.

Особенности


   	 Отличается прочностью, повышенной жесткостью. 
    	 Имеет высокие показатели ударной вязкости. 
    	 Обладает термопластичностью. 
    	 Является хорошим диэлектриком. 
    	 Зарекомендовал себя отсутствием специфического запаха. 
    	 Не пропускает воду. 
    	 Не меняет свойств при контакте с разбавленными кислотами, щелочами. 
    	 Прекрасно переносит изменения давления. 
 





   	 Характеризуется небольшим удельным весом. 
    	 Не подвержен коррозии, влиянию бактерий и грибов. 
    	 Может быть прозрачен. 
    	 Допускает стерилизацию горячим паром. 
    	 Не приносит вреда здоровью. 
    	 Дает небольшую усадку при формовании (1,2%). 
    	 Отлично перерабатывается. 
    	 Гарантирует высокую износостойкость и долговечность готовых изделий. 
 



Свойства


   	 Показатель текучести расплава (230оС/2,16 кг) — 26 г/10 мин. 
    	 Плотность — 0,904 кг/м3 
    	 Предел прочности при растяжении — 360 кг/см2 
    	 Относительное удлинение при растяжении — 9% 
    	 Относительное удлинение при разрыве — 22% 
    	 Модуль упругости при изгибе — 16400 кг/см2 
    	 Ударная вязкость по Изоду (с надрезом) — 2,1 кг-см/см 
    	 Твердость по Шору — 100 (Шкала R). 
 



Применение
  Используется для изготовления пищевых контейнеров, игрушек, элементов бытовой техники, посуды.

Globalene PT231 от компании ЮСИДЖИ
  С 2005 года поставляем полимеры от ведущих нефтехимических концернов. Консультируем по марочному ассортименту и первому запуску производства. Отправляем бесплатные образцы материалов. Доставляем груз по России и СНГ.
</w:t></w:r></w:p><w:p><w:pPr><w:pStyle w:val="Style16"/><w:spacing w:before="0" w:after="0"/><w:rPr></w:rPr></w:pPr><w:r><w:rPr></w:rPr><w:t>Технические характеристики</w:t></w:r></w:p><w:p><w:pPr><w:pStyle w:val="Style16"/><w:spacing w:before="0" w:after="0"/><w:rPr></w:rPr></w:pPr><w:r><w:rPr></w:rPr><w:t><a href="/upload/iblock/680/680abde26e5fe2853ea8aec1851306e8.pdf" target="_blank">PT231 (3) (pdf, 539.47кб)</a></w:t></w:r></w:p><w:p><w:pPr><w:pStyle w:val="Style16"/><w:spacing w:before="0" w:after="0"/><w:rPr></w:rPr></w:pPr><w:r><w:rPr></w:rPr></w:r></w:p><w:p><w:pPr><w:pStyle w:val="Style16"/><w:spacing w:before="0" w:after="0"/><w:rPr></w:rPr></w:pPr><w:r><w:rPr></w:rPr><w:t>Свойства марки</w:t></w:r></w:p><w:p><w:pPr><w:pStyle w:val="Style16"/><w:spacing w:before="0" w:after="0"/><w:rPr></w:rPr></w:pPr><w:r><w:rPr></w:rPr><w:t>Инъекция: пищевые контейнеры, посуда, игрушки, TWIM, бытовая техника. ПТР — 26.&nbsp;</w:t></w:r><w:r><w:rPr></w:rPr><w:t xml:space="preserve"> </w:t></w:r></w:p><w:p><w:pPr><w:pStyle w:val="Style16"/><w:spacing w:before="0" w:after="0"/><w:rPr></w:rPr></w:pPr><w:r><w:rPr></w:rPr></w:r></w:p><w:p><w:pPr><w:pStyle w:val="Style16"/><w:spacing w:before="0" w:after="0"/><w:rPr></w:rPr></w:pPr><w:r><w:rPr></w:rPr><w:t>Доступна фасовка</w:t></w:r></w:p><w:p><w:pPr><w:pStyle w:val="Style16"/><w:spacing w:before="0" w:after="0"/><w:rPr></w:rPr></w:pPr><w:r><w:rPr></w:rPr><w:t>Мешки ПЭ по 25 кг</w:t></w:r></w:p><w:sectPr><w:type w:val="nextPage"/><w:pgSz w:w="11906" w:h="16838"/><w:pgMar w:left="1134" w:right="567" w:header="0" w:top="567" w:footer="0" w:bottom="567" w:gutter="0"/><w:pgNumType w:fmt="decimal"/><w:formProt w:val="false"/><w:textDirection w:val="lrTb"/><w:docGrid w:type="default" w:linePitch="100" w:charSpace="0"/></w:sectPr></w:body></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PT Sans">
    <w:charset w:val="01"/>
    <w:family w:val="swiss"/>
    <w:pitch w:val="variable"/>
  </w:font>
  <w:font w:name="Liberation Serif">
    <w:altName w:val="Times New Roman"/>
    <w:charset w:val="01"/>
    <w:family w:val="swiss"/>
    <w:pitch w:val="variable"/>
  </w:font>
  <w:font w:name="OpenSymbol">
    <w:altName w:val="Arial Unicode MS"/>
    <w:charset w:val="01"/>
    <w:family w:val="roman"/>
    <w:pitch w:val="variable"/>
  </w:font>
  <w:font w:name="Albany">
    <w:altName w:val="Arial"/>
    <w:charset w:val="01"/>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pStyle w:val="2"/>
      <w:numFmt w:val="none"/>
      <w:suff w:val="nothing"/>
      <w:lvlText w:val=""/>
      <w:lvlJc w:val="left"/>
      <w:pPr>
        <w:ind w:left="0" w:hanging="0"/>
      </w:pPr>
    </w:lvl>
    <w:lvl w:ilvl="2">
      <w:start w:val="1"/>
      <w:pStyle w:val="3"/>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bering>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ource Han Sans CN Regular" w:cs="Lohit Devanagari"/>
        <w:szCs w:val="24"/>
        <w:lang w:val="ru-RU" w:eastAsia="zh-CN" w:bidi="hi-IN"/>
      </w:rPr>
    </w:rPrDefault>
    <w:pPrDefault>
      <w:pPr/>
    </w:pPrDefault>
  </w:docDefaults>
  <w:style w:type="paragraph" w:styleId="Normal">
    <w:name w:val="Normal"/>
    <w:qFormat/>
    <w:pPr>
      <w:widowControl w:val="false"/>
      <w:bidi w:val="0"/>
      <w:jc w:val="left"/>
    </w:pPr>
    <w:rPr>
      <w:rFonts w:ascii="Liberation Serif" w:hAnsi="Liberation Serif" w:eastAsia="Source Han Sans CN Regular" w:cs="Lohit Devanagari"/>
      <w:color w:val="00000A"/>
      <w:kern w:val="0"/>
      <w:sz w:val="24"/>
      <w:szCs w:val="24"/>
      <w:lang w:val="ru-RU" w:eastAsia="zh-CN" w:bidi="hi-IN"/>
    </w:rPr>
  </w:style>
  <w:style w:type="paragraph" w:styleId="1">
    <w:name w:val="Heading 1"/>
    <w:basedOn w:val="Style15"/>
    <w:qFormat/>
    <w:pPr>
      <w:spacing w:before="240" w:after="300"/>
      <w:jc w:val="left"/>
    </w:pPr>
    <w:rPr>
      <w:rFonts w:ascii="PT Sans" w:hAnsi="PT Sans" w:eastAsia="PT Sans" w:cs="PT Sans"/>
      <w:b/>
      <w:bCs/>
      <w:caps/>
      <w:color w:val="201E1E"/>
      <w:sz w:val="36"/>
      <w:szCs w:val="36"/>
    </w:rPr>
  </w:style>
  <w:style w:type="paragraph" w:styleId="2">
    <w:name w:val="Heading 2"/>
    <w:basedOn w:val="Style15"/>
    <w:qFormat/>
    <w:pPr>
      <w:numPr>
        <w:ilvl w:val="1"/>
        <w:numId w:val="1"/>
      </w:numPr>
      <w:spacing w:before="200" w:after="120"/>
      <w:outlineLvl w:val="1"/>
    </w:pPr>
    <w:rPr>
      <w:rFonts w:ascii="Liberation Serif" w:hAnsi="Liberation Serif" w:eastAsia="Source Han Sans CN Regular" w:cs="Lohit Devanagari"/>
      <w:b/>
      <w:bCs/>
      <w:sz w:val="36"/>
      <w:szCs w:val="36"/>
    </w:rPr>
  </w:style>
  <w:style w:type="paragraph" w:styleId="3">
    <w:name w:val="Heading 3"/>
    <w:basedOn w:val="Style15"/>
    <w:qFormat/>
    <w:pPr>
      <w:numPr>
        <w:ilvl w:val="2"/>
        <w:numId w:val="1"/>
      </w:numPr>
      <w:spacing w:before="140" w:after="120"/>
      <w:outlineLvl w:val="2"/>
    </w:pPr>
    <w:rPr>
      <w:rFonts w:ascii="Liberation Serif" w:hAnsi="Liberation Serif" w:eastAsia="Source Han Sans CN Regular" w:cs="Lohit Devanagari"/>
      <w:b/>
      <w:bCs/>
      <w:sz w:val="28"/>
      <w:szCs w:val="28"/>
    </w:rPr>
  </w:style>
  <w:style w:type="character" w:styleId="Style11">
    <w:name w:val="Символы концевой сноски"/>
    <w:qFormat/>
    <w:rPr/>
  </w:style>
  <w:style w:type="character" w:styleId="Style12">
    <w:name w:val="Символ сноски"/>
    <w:qFormat/>
    <w:rPr/>
  </w:style>
  <w:style w:type="character" w:styleId="Style13">
    <w:name w:val="Интернет-ссылка"/>
    <w:rPr>
      <w:color w:val="000080"/>
      <w:u w:val="single"/>
    </w:rPr>
  </w:style>
  <w:style w:type="character" w:styleId="Style14">
    <w:name w:val="Маркеры списка"/>
    <w:qFormat/>
    <w:rPr>
      <w:rFonts w:ascii="OpenSymbol" w:hAnsi="OpenSymbol" w:eastAsia="OpenSymbol" w:cs="OpenSymbol"/>
    </w:rPr>
  </w:style>
  <w:style w:type="character" w:styleId="Lang">
    <w:name w:val="lang"/>
    <w:qFormat/>
    <w:rPr/>
  </w:style>
  <w:style w:type="character" w:styleId="ListLabel1">
    <w:name w:val="ListLabel 1"/>
    <w:qFormat/>
    <w:rPr>
      <w:rFonts w:cs="OpenSymbol"/>
    </w:rPr>
  </w:style>
  <w:style w:type="character" w:styleId="ListLabel2">
    <w:name w:val="ListLabel 2"/>
    <w:qFormat/>
    <w:rPr>
      <w:rFonts w:cs="OpenSymbol"/>
    </w:rPr>
  </w:style>
  <w:style w:type="character" w:styleId="ListLabel3">
    <w:name w:val="ListLabel 3"/>
    <w:qFormat/>
    <w:rPr>
      <w:rFonts w:cs="OpenSymbol"/>
    </w:rPr>
  </w:style>
  <w:style w:type="character" w:styleId="ListLabel4">
    <w:name w:val="ListLabel 4"/>
    <w:qFormat/>
    <w:rPr>
      <w:rFonts w:cs="OpenSymbol"/>
    </w:rPr>
  </w:style>
  <w:style w:type="character" w:styleId="ListLabel5">
    <w:name w:val="ListLabel 5"/>
    <w:qFormat/>
    <w:rPr>
      <w:rFonts w:cs="OpenSymbol"/>
    </w:rPr>
  </w:style>
  <w:style w:type="character" w:styleId="ListLabel6">
    <w:name w:val="ListLabel 6"/>
    <w:qFormat/>
    <w:rPr>
      <w:rFonts w:cs="OpenSymbol"/>
    </w:rPr>
  </w:style>
  <w:style w:type="character" w:styleId="ListLabel7">
    <w:name w:val="ListLabel 7"/>
    <w:qFormat/>
    <w:rPr>
      <w:rFonts w:cs="OpenSymbol"/>
    </w:rPr>
  </w:style>
  <w:style w:type="character" w:styleId="ListLabel8">
    <w:name w:val="ListLabel 8"/>
    <w:qFormat/>
    <w:rPr>
      <w:rFonts w:cs="OpenSymbol"/>
    </w:rPr>
  </w:style>
  <w:style w:type="character" w:styleId="ListLabel9">
    <w:name w:val="ListLabel 9"/>
    <w:qFormat/>
    <w:rPr>
      <w:rFonts w:cs="OpenSymbol"/>
    </w:rPr>
  </w:style>
  <w:style w:type="paragraph" w:styleId="Style15">
    <w:name w:val="Заголовок"/>
    <w:basedOn w:val="Normal"/>
    <w:next w:val="Style16"/>
    <w:qFormat/>
    <w:pPr>
      <w:keepNext w:val="true"/>
      <w:spacing w:before="240" w:after="283"/>
    </w:pPr>
    <w:rPr>
      <w:rFonts w:ascii="Albany" w:hAnsi="Albany"/>
      <w:sz w:val="28"/>
      <w:szCs w:val="26"/>
    </w:rPr>
  </w:style>
  <w:style w:type="paragraph" w:styleId="Style16">
    <w:name w:val="Body Text"/>
    <w:basedOn w:val="Normal"/>
    <w:pPr>
      <w:spacing w:before="0" w:after="283"/>
    </w:pPr>
    <w:rPr/>
  </w:style>
  <w:style w:type="paragraph" w:styleId="Style17">
    <w:name w:val="List"/>
    <w:basedOn w:val="Style16"/>
    <w:pPr/>
    <w:rPr>
      <w:rFonts w:cs="Lohit Devanagari"/>
    </w:rPr>
  </w:style>
  <w:style w:type="paragraph" w:styleId="Style18">
    <w:name w:val="Caption"/>
    <w:basedOn w:val="Normal"/>
    <w:qFormat/>
    <w:pPr>
      <w:suppressLineNumbers/>
      <w:spacing w:before="120" w:after="120"/>
    </w:pPr>
    <w:rPr>
      <w:rFonts w:cs="Lohit Devanagari"/>
      <w:i/>
      <w:iCs/>
      <w:sz w:val="24"/>
      <w:szCs w:val="24"/>
    </w:rPr>
  </w:style>
  <w:style w:type="paragraph" w:styleId="Style19">
    <w:name w:val="Указатель"/>
    <w:basedOn w:val="Normal"/>
    <w:qFormat/>
    <w:pPr>
      <w:suppressLineNumbers/>
    </w:pPr>
    <w:rPr>
      <w:rFonts w:cs="Lohit Devanagari"/>
    </w:rPr>
  </w:style>
  <w:style w:type="paragraph" w:styleId="Style20">
    <w:name w:val="Горизонтальная линия"/>
    <w:basedOn w:val="Normal"/>
    <w:qFormat/>
    <w:pPr>
      <w:pBdr>
        <w:bottom w:val="double" w:sz="2" w:space="0" w:color="808080"/>
      </w:pBdr>
      <w:spacing w:before="0" w:after="283"/>
    </w:pPr>
    <w:rPr>
      <w:sz w:val="12"/>
    </w:rPr>
  </w:style>
  <w:style w:type="paragraph" w:styleId="Style21">
    <w:name w:val="Envelope Return"/>
    <w:basedOn w:val="Normal"/>
    <w:pPr/>
    <w:rPr>
      <w:i/>
    </w:rPr>
  </w:style>
  <w:style w:type="paragraph" w:styleId="Style22">
    <w:name w:val="Содержимое таблицы"/>
    <w:basedOn w:val="Style16"/>
    <w:qFormat/>
    <w:pPr/>
    <w:rPr/>
  </w:style>
  <w:style w:type="paragraph" w:styleId="Style23">
    <w:name w:val="Footer"/>
    <w:basedOn w:val="Normal"/>
    <w:pPr>
      <w:suppressLineNumbers/>
      <w:tabs>
        <w:tab w:val="center" w:pos="4818" w:leader="none"/>
        <w:tab w:val="right" w:pos="9637" w:leader="none"/>
      </w:tabs>
    </w:pPr>
    <w:rPr/>
  </w:style>
  <w:style w:type="paragraph" w:styleId="Style24">
    <w:name w:val="Header"/>
    <w:basedOn w:val="Normal"/>
    <w:pPr>
      <w:suppressLineNumbers/>
      <w:tabs>
        <w:tab w:val="center" w:pos="4818" w:leader="none"/>
        <w:tab w:val="right" w:pos="9637" w:leader="none"/>
      </w:tab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g"/><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7</TotalTime>
  <Application>LibreOffice/5.4.6.2$Linux_X86_64 LibreOffice_project/40$Build-2</Application>
  <Pages>1</Pages>
  <Words>19</Words>
  <Characters>170</Characters>
  <CharactersWithSpaces>180</CharactersWithSpaces>
  <Paragraphs>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ru-RU</dc:language>
  <cp:lastModifiedBy/>
  <dcterms:modified xsi:type="dcterms:W3CDTF">2018-06-14T09:42:48Z</dcterms:modified>
  <cp:revision>2</cp:revision>
  <dc:subject/>
  <dc:title/>
</cp:coreProperties>
</file>