
<file path=[Content_Types].xml><?xml version="1.0" encoding="utf-8"?>
<Types xmlns="http://schemas.openxmlformats.org/package/2006/content-types">
  <Override PartName="/_rels/.rels" ContentType="application/vnd.openxmlformats-package.relationships+xml"/>
  <Override PartName="/docProps/app.xml" ContentType="application/vnd.openxmlformats-officedocument.extended-properties+xml"/>
  <Override PartName="/docProps/core.xml" ContentType="application/vnd.openxmlformats-package.core-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fontTable.xml" ContentType="application/vnd.openxmlformats-officedocument.wordprocessingml.fontTabl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Style16"/>
        <w:rPr/>
      </w:pPr>
      <w:r>
        <w:rPr/>
        <w:drawing>
          <wp:inline distT="0" distB="0" distL="0" distR="0">
            <wp:extent cx="3475990" cy="3508375"/>
            <wp:effectExtent l="0" t="0" r="0" b="0"/>
            <wp:docPr id="1" name="Изображение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Изображение1" descr=""/>
                    <pic:cNvPicPr>
                      <a:picLocks noChangeAspect="1" noChangeArrowheads="1"/>
                    </pic:cNvPicPr>
                  </pic:nvPicPr>
                  <pic:blipFill>
                    <a:blip r:embed="rId2"/>
                    <a:stretch>
                      <a:fillRect/>
                    </a:stretch>
                  </pic:blipFill>
                  <pic:spPr bwMode="auto">
                    <a:xfrm>
                      <a:off x="0" y="0"/>
                      <a:ext cx="3475990" cy="3508375"/>
                    </a:xfrm>
                    <a:prstGeom prst="rect">
                      <a:avLst/>
                    </a:prstGeom>
                  </pic:spPr>
                </pic:pic>
              </a:graphicData>
            </a:graphic>
          </wp:inline>
        </w:drawing>
      </w:r>
      <w:r>
        <w:rPr/>
        <w:t xml:space="preserve"> </w:t>
      </w:r>
    </w:p>
    <w:p>
      <w:pPr>
        <w:pStyle w:val="1"/>
        <w:rPr/>
      </w:pPr>
      <w:r>
        <w:rPr/>
        <w:t>Lumid GP1200AW</w:t>
      </w:r>
      <w:r>
        <w:rPr/>
        <w:t xml:space="preserve"> </w:t>
      </w:r>
    </w:p>
    <w:p>
      <w:pPr>
        <w:pStyle w:val="Style16"/>
        <w:spacing w:before="0" w:after="0"/>
        <w:rPr/>
      </w:pPr>
      <w:r>
        <w:rPr/>
        <w:t>Наличие на складе:</w:t>
      </w:r>
    </w:p>
    <w:p>
      <w:pPr>
        <w:pStyle w:val="Style16"/>
        <w:spacing w:before="0" w:after="0"/>
        <w:rPr/>
      </w:pPr>
      <w:r>
        <w:rPr/>
        <w:t/>
      </w:r>
      <w:r>
        <w:rPr/>
        <w:t xml:space="preserve"> </w:t>
      </w:r>
    </w:p>
    <w:p>
      <w:pPr>
        <w:pStyle w:val="Style16"/>
        <w:spacing w:before="0" w:after="0"/>
        <w:rPr/>
      </w:pPr>
      <w:r>
        <w:rPr/>
      </w:r>
    </w:p>
    <w:p>
      <w:pPr>
        <w:pStyle w:val="Style16"/>
        <w:spacing w:before="0" w:after="0"/>
        <w:rPr/>
      </w:pPr>
      <w:r>
        <w:rPr/>
        <w:t>Наши преимущества</w:t>
      </w:r>
    </w:p>
    <w:p>
      <w:pPr>
        <w:pStyle w:val="Style16"/>
        <w:spacing w:before="0" w:after="0"/>
        <w:rPr/>
      </w:pPr>
      <w:r>
        <w:rPr/>
        <w:t>
          <w:p>
            <w:pPr>
              <w:pStyle w:val="Style16"/>
              <w:spacing w:before="0" w:after="0"/>
              <w:rPr/>
            </w:pPr>
            <w:r>
              <w:rPr/>
              <w:t>    - Нефтехимический концерн с мировым именем</w:t>
            </w:r>
          </w:p>
          <w:p>
            <w:pPr>
              <w:pStyle w:val="Style16"/>
              <w:spacing w:before="0" w:after="0"/>
              <w:rPr/>
            </w:pPr>
            <w:r>
              <w:rPr/>
              <w:t>    - Бесплатная консультация технолога;
</w:t>
            </w:r>
          </w:p>
          <w:p>
            <w:pPr>
              <w:pStyle w:val="Style16"/>
              <w:spacing w:before="0" w:after="0"/>
              <w:rPr/>
            </w:pPr>
            <w:r>
              <w:rPr/>
              <w:t>    - Доставка в любой город России и СНГ;
</w:t>
            </w:r>
          </w:p>
          <w:p>
            <w:pPr>
              <w:pStyle w:val="Style16"/>
              <w:spacing w:before="0" w:after="0"/>
              <w:rPr/>
            </w:pPr>
            <w:r>
              <w:rPr/>
              <w:t>    - Прямые поставки от производителя;</w:t>
            </w:r>
          </w:p>
        </w:t>
      </w:r>
    </w:p>
    <w:p>
      <w:pPr>
        <w:pStyle w:val="Style16"/>
        <w:spacing w:before="0" w:after="0"/>
        <w:rPr/>
      </w:pPr>
      <w:r>
        <w:rPr/>
      </w:r>
    </w:p>
    <w:p>
      <w:pPr>
        <w:pStyle w:val="2"/>
        <w:numPr>
          <w:ilvl w:val="1"/>
          <w:numId w:val="1"/>
        </w:numPr>
        <w:rPr/>
      </w:pPr>
      <w:r>
        <w:rPr/>
        <w:t>Описание</w:t>
      </w:r>
    </w:p>
    <w:p>
      <w:pPr>
        <w:pStyle w:val="Style16"/>
        <w:rPr/>
      </w:pPr>
      <w:r>
        <w:rPr/>
        <w:t>
 Ненаполненный полиамид ПА6 LUMID GP1200AW — это базовая литьевая марка. Полиамид прочен, не подвержен воздействию химии и нетоксичен. Подходит для введения специальных добавок.
  Фасовка: бумажные мешки по 25 кг.
  Производство: LG Chem, Южная Корея.
Свойства ПА6 LUMID GP1200AW
Высокая прочность будущих изделий
  При условии 50 мм/мин по стандарту D638:
   	 напряжение при растяжении составляет 750 кг/см2; 
    	 относительное удлинение при растяжении — 130%. 
  При условии 2,8 мм/мин по стандарту D790:
   	 Прочность на изгиб 1,100 кг/см2; 
    	 Модуль упругости при изгибе 27,000 кг/см2. 
Химическая инертность
 Полиамид можно использовать в условиях постоянного контакта с маслами, спиртами, слабыми кислотами, щелочами и бензином.
Возможности для компаундирования
  Базовые марки рассчитаны на введение дополнительных ингредиентов, которые расширят функционал материала. Полиамид обычно наполняют стекловолокном или минеральными добавками.
Литьевая переработка
  Материал имеет среднюю вязкость, его перерабатывают путем литья под давлением. Полиамид подходит для такого метода, потому что он практически не изнашивает формы и литьевые машины.
Применение
Подходящие эксплуатационные условия
  Важно учитывать, что полиамид слабо устойчив к воздействию ультрафиолета и имеет свойство поглощать влагу (для марки GP1200AW показатель абсорбции — 1,7%). Изделия из такого материала должны быть рассчитаны на эксплуатацию в помещении.
ЮСИЖДИ — надежный поставщик и ответственный партнер
  Поставляем полимеры от известных производителей, официально представляем продукцию LG Chem в России. Наша компания более десяти лет на рынке полимеров: имеем широкий круг клиентов. Предлагаем выгодные условия сотрудничества и широкий ассортимент полимеров и наливной нефтехимии.
Предлагаем купить полиамид ПА6 LUMID GP1200AW оптом с доставкой по РФ и СНГ
  Чтобы оставить заявку, заполните форму на сайте или позвоните нам:
   	 Рассчитаем стоимость партии; 
    	 Согласуем сроки доставки; 
    	 Отправим ПА6 LUMID GP1200AW транспортной компанией в регионы России и в страны ближнего зарубежья. 
</w:t>
      </w:r>
    </w:p>
    <w:p>
      <w:pPr>
        <w:pStyle w:val="Style16"/>
        <w:spacing w:before="0" w:after="0"/>
        <w:rPr/>
      </w:pPr>
      <w:r>
        <w:rPr/>
        <w:t>Технические характеристики</w:t>
      </w:r>
    </w:p>
    <w:p>
      <w:pPr>
        <w:pStyle w:val="Style16"/>
        <w:spacing w:before="0" w:after="0"/>
        <w:rPr/>
      </w:pPr>
      <w:r>
        <w:rPr/>
        <w:t>
          <a href="/upload/iblock/ed5/ed5b7cbbc5074da633ee705b6ea559ed.pdf" target="_blank">LUMID GP1200A(W) (pdf, 363.31кб)</a>
        </w:t>
      </w:r>
    </w:p>
    <w:p>
      <w:pPr>
        <w:pStyle w:val="Style16"/>
        <w:spacing w:before="0" w:after="0"/>
        <w:rPr/>
      </w:pPr>
      <w:r>
        <w:rPr/>
      </w:r>
    </w:p>
    <w:p>
      <w:pPr>
        <w:pStyle w:val="Style16"/>
        <w:spacing w:before="0" w:after="0"/>
        <w:rPr/>
      </w:pPr>
      <w:r>
        <w:rPr/>
        <w:t>Свойства марки</w:t>
      </w:r>
    </w:p>
    <w:p>
      <w:pPr>
        <w:pStyle w:val="Style16"/>
        <w:spacing w:before="0" w:after="0"/>
        <w:rPr/>
      </w:pPr>
      <w:r>
        <w:rPr/>
        <w:t>Литье, ПА6, базовые свойства, средняя вязкость</w:t>
      </w:r>
      <w:r>
        <w:rPr/>
        <w:t xml:space="preserve"> </w:t>
      </w:r>
    </w:p>
    <w:p>
      <w:pPr>
        <w:pStyle w:val="Style16"/>
        <w:spacing w:before="0" w:after="0"/>
        <w:rPr/>
      </w:pPr>
      <w:r>
        <w:rPr/>
      </w:r>
    </w:p>
    <w:p>
      <w:pPr>
        <w:pStyle w:val="Style16"/>
        <w:spacing w:before="0" w:after="0"/>
        <w:rPr/>
      </w:pPr>
      <w:r>
        <w:rPr/>
        <w:t>Доступна фасовка</w:t>
      </w:r>
    </w:p>
    <w:p>
      <w:pPr>
        <w:pStyle w:val="Style16"/>
        <w:spacing w:before="0" w:after="0"/>
        <w:rPr/>
      </w:pPr>
      <w:r>
        <w:rPr/>
        <w:t>Мешки бумажные по 25кг</w:t>
      </w:r>
    </w:p>
    <w:sectPr>
      <w:type w:val="nextPage"/>
      <w:pgSz w:w="11906" w:h="16838"/>
      <w:pgMar w:left="1134" w:right="567" w:header="0" w:top="567" w:footer="0" w:bottom="567" w:gutter="0"/>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PT Sans">
    <w:charset w:val="01"/>
    <w:family w:val="swiss"/>
    <w:pitch w:val="variable"/>
  </w:font>
  <w:font w:name="Liberation Serif">
    <w:altName w:val="Times New Roman"/>
    <w:charset w:val="01"/>
    <w:family w:val="swiss"/>
    <w:pitch w:val="variable"/>
  </w:font>
  <w:font w:name="OpenSymbol">
    <w:altName w:val="Arial Unicode MS"/>
    <w:charset w:val="01"/>
    <w:family w:val="roman"/>
    <w:pitch w:val="variable"/>
  </w:font>
  <w:font w:name="Albany">
    <w:altName w:val="Arial"/>
    <w:charset w:val="01"/>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none"/>
      <w:suff w:val="nothing"/>
      <w:lvlText w:val=""/>
      <w:lvlJc w:val="left"/>
      <w:pPr>
        <w:ind w:left="0" w:hanging="0"/>
      </w:pPr>
    </w:lvl>
    <w:lvl w:ilvl="1">
      <w:start w:val="1"/>
      <w:pStyle w:val="2"/>
      <w:numFmt w:val="none"/>
      <w:suff w:val="nothing"/>
      <w:lvlText w:val=""/>
      <w:lvlJc w:val="left"/>
      <w:pPr>
        <w:ind w:left="0" w:hanging="0"/>
      </w:pPr>
    </w:lvl>
    <w:lvl w:ilvl="2">
      <w:start w:val="1"/>
      <w:pStyle w:val="3"/>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bering>
</file>

<file path=word/settings.xml><?xml version="1.0" encoding="utf-8"?>
<w:settings xmlns:w="http://schemas.openxmlformats.org/wordprocessingml/2006/main">
  <w:zoom w:percent="100"/>
  <w:defaultTabStop w:val="709"/>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ource Han Sans CN Regular" w:cs="Lohit Devanagari"/>
        <w:szCs w:val="24"/>
        <w:lang w:val="ru-RU" w:eastAsia="zh-CN" w:bidi="hi-IN"/>
      </w:rPr>
    </w:rPrDefault>
    <w:pPrDefault>
      <w:pPr/>
    </w:pPrDefault>
  </w:docDefaults>
  <w:style w:type="paragraph" w:styleId="Normal">
    <w:name w:val="Normal"/>
    <w:qFormat/>
    <w:pPr>
      <w:widowControl w:val="false"/>
      <w:bidi w:val="0"/>
      <w:jc w:val="left"/>
    </w:pPr>
    <w:rPr>
      <w:rFonts w:ascii="Liberation Serif" w:hAnsi="Liberation Serif" w:eastAsia="Source Han Sans CN Regular" w:cs="Lohit Devanagari"/>
      <w:color w:val="00000A"/>
      <w:kern w:val="0"/>
      <w:sz w:val="24"/>
      <w:szCs w:val="24"/>
      <w:lang w:val="ru-RU" w:eastAsia="zh-CN" w:bidi="hi-IN"/>
    </w:rPr>
  </w:style>
  <w:style w:type="paragraph" w:styleId="1">
    <w:name w:val="Heading 1"/>
    <w:basedOn w:val="Style15"/>
    <w:qFormat/>
    <w:pPr>
      <w:spacing w:before="240" w:after="300"/>
      <w:jc w:val="left"/>
    </w:pPr>
    <w:rPr>
      <w:rFonts w:ascii="PT Sans" w:hAnsi="PT Sans" w:eastAsia="PT Sans" w:cs="PT Sans"/>
      <w:b/>
      <w:bCs/>
      <w:caps/>
      <w:color w:val="201E1E"/>
      <w:sz w:val="36"/>
      <w:szCs w:val="36"/>
    </w:rPr>
  </w:style>
  <w:style w:type="paragraph" w:styleId="2">
    <w:name w:val="Heading 2"/>
    <w:basedOn w:val="Style15"/>
    <w:qFormat/>
    <w:pPr>
      <w:numPr>
        <w:ilvl w:val="1"/>
        <w:numId w:val="1"/>
      </w:numPr>
      <w:spacing w:before="200" w:after="120"/>
      <w:outlineLvl w:val="1"/>
    </w:pPr>
    <w:rPr>
      <w:rFonts w:ascii="Liberation Serif" w:hAnsi="Liberation Serif" w:eastAsia="Source Han Sans CN Regular" w:cs="Lohit Devanagari"/>
      <w:b/>
      <w:bCs/>
      <w:sz w:val="36"/>
      <w:szCs w:val="36"/>
    </w:rPr>
  </w:style>
  <w:style w:type="paragraph" w:styleId="3">
    <w:name w:val="Heading 3"/>
    <w:basedOn w:val="Style15"/>
    <w:qFormat/>
    <w:pPr>
      <w:numPr>
        <w:ilvl w:val="2"/>
        <w:numId w:val="1"/>
      </w:numPr>
      <w:spacing w:before="140" w:after="120"/>
      <w:outlineLvl w:val="2"/>
    </w:pPr>
    <w:rPr>
      <w:rFonts w:ascii="Liberation Serif" w:hAnsi="Liberation Serif" w:eastAsia="Source Han Sans CN Regular" w:cs="Lohit Devanagari"/>
      <w:b/>
      <w:bCs/>
      <w:sz w:val="28"/>
      <w:szCs w:val="28"/>
    </w:rPr>
  </w:style>
  <w:style w:type="character" w:styleId="Style11">
    <w:name w:val="Символы концевой сноски"/>
    <w:qFormat/>
    <w:rPr/>
  </w:style>
  <w:style w:type="character" w:styleId="Style12">
    <w:name w:val="Символ сноски"/>
    <w:qFormat/>
    <w:rPr/>
  </w:style>
  <w:style w:type="character" w:styleId="Style13">
    <w:name w:val="Интернет-ссылка"/>
    <w:rPr>
      <w:color w:val="000080"/>
      <w:u w:val="single"/>
    </w:rPr>
  </w:style>
  <w:style w:type="character" w:styleId="Style14">
    <w:name w:val="Маркеры списка"/>
    <w:qFormat/>
    <w:rPr>
      <w:rFonts w:ascii="OpenSymbol" w:hAnsi="OpenSymbol" w:eastAsia="OpenSymbol" w:cs="OpenSymbol"/>
    </w:rPr>
  </w:style>
  <w:style w:type="character" w:styleId="Lang">
    <w:name w:val="lang"/>
    <w:qFormat/>
    <w:rPr/>
  </w:style>
  <w:style w:type="character" w:styleId="ListLabel1">
    <w:name w:val="ListLabel 1"/>
    <w:qFormat/>
    <w:rPr>
      <w:rFonts w:cs="OpenSymbol"/>
    </w:rPr>
  </w:style>
  <w:style w:type="character" w:styleId="ListLabel2">
    <w:name w:val="ListLabel 2"/>
    <w:qFormat/>
    <w:rPr>
      <w:rFonts w:cs="OpenSymbol"/>
    </w:rPr>
  </w:style>
  <w:style w:type="character" w:styleId="ListLabel3">
    <w:name w:val="ListLabel 3"/>
    <w:qFormat/>
    <w:rPr>
      <w:rFonts w:cs="OpenSymbol"/>
    </w:rPr>
  </w:style>
  <w:style w:type="character" w:styleId="ListLabel4">
    <w:name w:val="ListLabel 4"/>
    <w:qFormat/>
    <w:rPr>
      <w:rFonts w:cs="OpenSymbol"/>
    </w:rPr>
  </w:style>
  <w:style w:type="character" w:styleId="ListLabel5">
    <w:name w:val="ListLabel 5"/>
    <w:qFormat/>
    <w:rPr>
      <w:rFonts w:cs="OpenSymbol"/>
    </w:rPr>
  </w:style>
  <w:style w:type="character" w:styleId="ListLabel6">
    <w:name w:val="ListLabel 6"/>
    <w:qFormat/>
    <w:rPr>
      <w:rFonts w:cs="OpenSymbol"/>
    </w:rPr>
  </w:style>
  <w:style w:type="character" w:styleId="ListLabel7">
    <w:name w:val="ListLabel 7"/>
    <w:qFormat/>
    <w:rPr>
      <w:rFonts w:cs="OpenSymbol"/>
    </w:rPr>
  </w:style>
  <w:style w:type="character" w:styleId="ListLabel8">
    <w:name w:val="ListLabel 8"/>
    <w:qFormat/>
    <w:rPr>
      <w:rFonts w:cs="OpenSymbol"/>
    </w:rPr>
  </w:style>
  <w:style w:type="character" w:styleId="ListLabel9">
    <w:name w:val="ListLabel 9"/>
    <w:qFormat/>
    <w:rPr>
      <w:rFonts w:cs="OpenSymbol"/>
    </w:rPr>
  </w:style>
  <w:style w:type="paragraph" w:styleId="Style15">
    <w:name w:val="Заголовок"/>
    <w:basedOn w:val="Normal"/>
    <w:next w:val="Style16"/>
    <w:qFormat/>
    <w:pPr>
      <w:keepNext w:val="true"/>
      <w:spacing w:before="240" w:after="283"/>
    </w:pPr>
    <w:rPr>
      <w:rFonts w:ascii="Albany" w:hAnsi="Albany"/>
      <w:sz w:val="28"/>
      <w:szCs w:val="26"/>
    </w:rPr>
  </w:style>
  <w:style w:type="paragraph" w:styleId="Style16">
    <w:name w:val="Body Text"/>
    <w:basedOn w:val="Normal"/>
    <w:pPr>
      <w:spacing w:before="0" w:after="283"/>
    </w:pPr>
    <w:rPr/>
  </w:style>
  <w:style w:type="paragraph" w:styleId="Style17">
    <w:name w:val="List"/>
    <w:basedOn w:val="Style16"/>
    <w:pPr/>
    <w:rPr>
      <w:rFonts w:cs="Lohit Devanagari"/>
    </w:rPr>
  </w:style>
  <w:style w:type="paragraph" w:styleId="Style18">
    <w:name w:val="Caption"/>
    <w:basedOn w:val="Normal"/>
    <w:qFormat/>
    <w:pPr>
      <w:suppressLineNumbers/>
      <w:spacing w:before="120" w:after="120"/>
    </w:pPr>
    <w:rPr>
      <w:rFonts w:cs="Lohit Devanagari"/>
      <w:i/>
      <w:iCs/>
      <w:sz w:val="24"/>
      <w:szCs w:val="24"/>
    </w:rPr>
  </w:style>
  <w:style w:type="paragraph" w:styleId="Style19">
    <w:name w:val="Указатель"/>
    <w:basedOn w:val="Normal"/>
    <w:qFormat/>
    <w:pPr>
      <w:suppressLineNumbers/>
    </w:pPr>
    <w:rPr>
      <w:rFonts w:cs="Lohit Devanagari"/>
    </w:rPr>
  </w:style>
  <w:style w:type="paragraph" w:styleId="Style20">
    <w:name w:val="Горизонтальная линия"/>
    <w:basedOn w:val="Normal"/>
    <w:qFormat/>
    <w:pPr>
      <w:pBdr>
        <w:bottom w:val="double" w:sz="2" w:space="0" w:color="808080"/>
      </w:pBdr>
      <w:spacing w:before="0" w:after="283"/>
    </w:pPr>
    <w:rPr>
      <w:sz w:val="12"/>
    </w:rPr>
  </w:style>
  <w:style w:type="paragraph" w:styleId="Style21">
    <w:name w:val="Envelope Return"/>
    <w:basedOn w:val="Normal"/>
    <w:pPr/>
    <w:rPr>
      <w:i/>
    </w:rPr>
  </w:style>
  <w:style w:type="paragraph" w:styleId="Style22">
    <w:name w:val="Содержимое таблицы"/>
    <w:basedOn w:val="Style16"/>
    <w:qFormat/>
    <w:pPr/>
    <w:rPr/>
  </w:style>
  <w:style w:type="paragraph" w:styleId="Style23">
    <w:name w:val="Footer"/>
    <w:basedOn w:val="Normal"/>
    <w:pPr>
      <w:suppressLineNumbers/>
      <w:tabs>
        <w:tab w:val="center" w:pos="4818" w:leader="none"/>
        <w:tab w:val="right" w:pos="9637" w:leader="none"/>
      </w:tabs>
    </w:pPr>
    <w:rPr/>
  </w:style>
  <w:style w:type="paragraph" w:styleId="Style24">
    <w:name w:val="Header"/>
    <w:basedOn w:val="Normal"/>
    <w:pPr>
      <w:suppressLineNumbers/>
      <w:tabs>
        <w:tab w:val="center" w:pos="4818" w:leader="none"/>
        <w:tab w:val="right" w:pos="9637" w:leader="none"/>
      </w:tab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g"/><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7</TotalTime>
  <Application>LibreOffice/5.4.6.2$Linux_X86_64 LibreOffice_project/40$Build-2</Application>
  <Pages>1</Pages>
  <Words>19</Words>
  <Characters>170</Characters>
  <CharactersWithSpaces>180</CharactersWithSpaces>
  <Paragraphs>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ru-RU</dc:language>
  <cp:lastModifiedBy/>
  <dcterms:modified xsi:type="dcterms:W3CDTF">2018-06-14T09:42:48Z</dcterms:modified>
  <cp:revision>2</cp:revision>
  <dc:subject/>
  <dc:title/>
</cp:coreProperties>
</file>