
<file path=[Content_Types].xml><?xml version="1.0" encoding="utf-8"?>
<Types xmlns="http://schemas.openxmlformats.org/package/2006/content-types">
  <Override PartName="/_rels/.rels" ContentType="application/vnd.openxmlformats-package.relationships+xml"/>
  <Override PartName="/docProps/app.xml" ContentType="application/vnd.openxmlformats-officedocument.extended-properties+xml"/>
  <Override PartName="/docProps/core.xml" ContentType="application/vnd.openxmlformats-package.core-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Style16"/>
        <w:rPr/>
      </w:pPr>
      <w:r>
        <w:rPr/>
        <w:drawing>
          <wp:inline distT="0" distB="0" distL="0" distR="0">
            <wp:extent cx="3475990" cy="3508375"/>
            <wp:effectExtent l="0" t="0" r="0" b="0"/>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3475990" cy="3508375"/>
                    </a:xfrm>
                    <a:prstGeom prst="rect">
                      <a:avLst/>
                    </a:prstGeom>
                  </pic:spPr>
                </pic:pic>
              </a:graphicData>
            </a:graphic>
          </wp:inline>
        </w:drawing>
      </w:r>
      <w:r>
        <w:rPr/>
        <w:t xml:space="preserve"> </w:t>
      </w:r>
    </w:p>
    <w:p>
      <w:pPr>
        <w:pStyle w:val="1"/>
        <w:rPr/>
      </w:pPr>
      <w:r>
        <w:rPr/>
        <w:t>Lupox GP2076F</w:t>
      </w:r>
      <w:r>
        <w:rPr/>
        <w:t xml:space="preserve"> </w:t>
      </w:r>
    </w:p>
    <w:p>
      <w:pPr>
        <w:pStyle w:val="Style16"/>
        <w:spacing w:before="0" w:after="0"/>
        <w:rPr/>
      </w:pPr>
      <w:r>
        <w:rPr/>
        <w:t>Наличие на складе:</w:t>
      </w:r>
    </w:p>
    <w:p>
      <w:pPr>
        <w:pStyle w:val="Style16"/>
        <w:spacing w:before="0" w:after="0"/>
        <w:rPr/>
      </w:pPr>
      <w:r>
        <w:rPr/>
        <w:t/>
      </w:r>
      <w:r>
        <w:rPr/>
        <w:t xml:space="preserve"> </w:t>
      </w:r>
    </w:p>
    <w:p>
      <w:pPr>
        <w:pStyle w:val="Style16"/>
        <w:spacing w:before="0" w:after="0"/>
        <w:rPr/>
      </w:pPr>
      <w:r>
        <w:rPr/>
      </w:r>
    </w:p>
    <w:p>
      <w:pPr>
        <w:pStyle w:val="Style16"/>
        <w:spacing w:before="0" w:after="0"/>
        <w:rPr/>
      </w:pPr>
      <w:r>
        <w:rPr/>
        <w:t>Наши преимущества</w:t>
      </w:r>
    </w:p>
    <w:p>
      <w:pPr>
        <w:pStyle w:val="Style16"/>
        <w:spacing w:before="0" w:after="0"/>
        <w:rPr/>
      </w:pPr>
      <w:r>
        <w:rPr/>
        <w:t>
          <w:p>
            <w:pPr>
              <w:pStyle w:val="Style16"/>
              <w:spacing w:before="0" w:after="0"/>
              <w:rPr/>
            </w:pPr>
            <w:r>
              <w:rPr/>
              <w:t>    - Нефтехимический концерн с мировым именем</w:t>
            </w:r>
          </w:p>
          <w:p>
            <w:pPr>
              <w:pStyle w:val="Style16"/>
              <w:spacing w:before="0" w:after="0"/>
              <w:rPr/>
            </w:pPr>
            <w:r>
              <w:rPr/>
              <w:t>    - Бесплатная консультация технолога;
</w:t>
            </w:r>
          </w:p>
          <w:p>
            <w:pPr>
              <w:pStyle w:val="Style16"/>
              <w:spacing w:before="0" w:after="0"/>
              <w:rPr/>
            </w:pPr>
            <w:r>
              <w:rPr/>
              <w:t>    - Доставка в любой город России и СНГ;
</w:t>
            </w:r>
          </w:p>
          <w:p>
            <w:pPr>
              <w:pStyle w:val="Style16"/>
              <w:spacing w:before="0" w:after="0"/>
              <w:rPr/>
            </w:pPr>
            <w:r>
              <w:rPr/>
              <w:t>    - Прямые поставки от производителя;</w:t>
            </w:r>
          </w:p>
        </w:t>
      </w:r>
    </w:p>
    <w:p>
      <w:pPr>
        <w:pStyle w:val="Style16"/>
        <w:spacing w:before="0" w:after="0"/>
        <w:rPr/>
      </w:pPr>
      <w:r>
        <w:rPr/>
      </w:r>
    </w:p>
    <w:p>
      <w:pPr>
        <w:pStyle w:val="2"/>
        <w:numPr>
          <w:ilvl w:val="1"/>
          <w:numId w:val="1"/>
        </w:numPr>
        <w:rPr/>
      </w:pPr>
      <w:r>
        <w:rPr/>
        <w:t>Описание</w:t>
      </w:r>
    </w:p>
    <w:p>
      <w:pPr>
        <w:pStyle w:val="Style16"/>
        <w:rPr/>
      </w:pPr>
      <w:r>
        <w:rPr/>
        <w:t>
 ПБТ LUPOX GP2076F стеклонаполненный, огнестойкий — полимер, в состав которого входит полибутилентерефталат (ПБТ) и 7% стекловолокна. Выпускается в форме гранул. Упаковывается в бумажные пакеты по 25 кг.
  Компания UCG занимается поставками полимеров в промышленных масштабах. Хотите уточнить делали сотрудничества? Звоните нашим менеджерам. Оставить заявку можно на сайте. Доставка товара — в любой регион России.
Свойства
   	 Быстро кристаллизуется. 
    	 Отличается высокой степенью текучести расплава. 
    	 Зарекомендовал себя хорошими механическими характеристиками. 
    	 Обладает низкой горючестью, стойкостью к утечке тока. 
    	 Характеризуется низким коэффициентом трения, поэтому способен заменить некоторые металлы. 
    	 Обеспечивает отличный внешний вид (глянцевая поверхность). 
    	 Доступен для переработки за счет такого способа, как литье под давлением. 
Физические
   	 Плотность составляет 1,48 
    	 Усадка при формовании — 0,5-1,2% 
    	 Показатель текучести расплава равен 16 г/10 мин. 
    	 Влагопоглощение — 0,08% 
Механические
   	 Напряжение при растяжении, 3,2 мм — 690 кг/см2 
    	 Относительное удлинение, 3,2 мм при разрыве 50 мм/мин. — 4,0% 
    	 Прочность на изгиб, 3,2 мм — 1,080 кг/см2 
    	 Модуль упругости при изгибе, 3,2 мм — 33,500 кг/см2 
    	 Ударная вязкость образца по Изоду (с надрезом), 6,4 мм — 3,2 кг см/см 
Температурные
   	 Температура плавления — 223°С 
    	 Температура тепловой деформации — 160°С 
Электрические
   	 Пробивное напряжение — 3 PLC 
    	 Удельное объемное сопротивление — 1.0E+16 Ом см 
    	 Дугостойкость — 6 PLC 
    	 Диэлектрическая проницаемость — 23 кВ/мм 
Применение
  Из огнестойкого стеклонаполненного полибутилентерефталата изготавливают детали для разных областей промышленности:
  — электротехника (реле, катушки, штекеры);
  — компьютерная техника;
  — автомобильная отрасль (панель приборов, фурнитура);
  — приборостроение;
  — товары широкого потребления (цоколи для ламп, защищающие щиты для выключателей).
Оптовые поставки ПБТ с доставкой по России и СНГ
  С 2005 года UCG работает на рынке крупных поставок продуктов нефтехимии и дорожного строительства. В течение всего периода бесперебойно обеспечиваем промышленные предприятия нашей страны и стран ближнего зарубежья качественными материалами.
   	 Реализуем сырье от проверенных компаний-производителей. 
    	 Являемся официальным дилером компании LG Chem в России. 
    	 Консультируем по подбору марок, способных решить производственные задачи. 
    	 Оперативно доставляем партии любого объема, так как владеем сетью складов по всей России. 
  Компания ЮСИДЖИ приглашает к сотрудничеству небольшие организации и крупные концерны.
</w:t>
      </w:r>
    </w:p>
    <w:p>
      <w:pPr>
        <w:pStyle w:val="Style16"/>
        <w:spacing w:before="0" w:after="0"/>
        <w:rPr/>
      </w:pPr>
      <w:r>
        <w:rPr/>
        <w:t>Технические характеристики</w:t>
      </w:r>
    </w:p>
    <w:p>
      <w:pPr>
        <w:pStyle w:val="Style16"/>
        <w:spacing w:before="0" w:after="0"/>
        <w:rPr/>
      </w:pPr>
      <w:r>
        <w:rPr/>
        <w:t>
          <a href="/upload/iblock/9cc/9cc183650e386b5473c2079f2d320c59.pdf" target="_blank">GP2076F (pdf, 257.38кб)</a>
        </w:t>
      </w:r>
    </w:p>
    <w:p>
      <w:pPr>
        <w:pStyle w:val="Style16"/>
        <w:spacing w:before="0" w:after="0"/>
        <w:rPr/>
      </w:pPr>
      <w:r>
        <w:rPr/>
      </w:r>
    </w:p>
    <w:p>
      <w:pPr>
        <w:pStyle w:val="Style16"/>
        <w:spacing w:before="0" w:after="0"/>
        <w:rPr/>
      </w:pPr>
      <w:r>
        <w:rPr/>
        <w:t>Свойства марки</w:t>
      </w:r>
    </w:p>
    <w:p>
      <w:pPr>
        <w:pStyle w:val="Style16"/>
        <w:spacing w:before="0" w:after="0"/>
        <w:rPr/>
      </w:pPr>
      <w:r>
        <w:rPr/>
        <w:t>ПБТ+СВ 7%, литье, базовые свойства, огнестойкая</w:t>
      </w:r>
      <w:r>
        <w:rPr/>
        <w:t xml:space="preserve"> </w:t>
      </w:r>
    </w:p>
    <w:p>
      <w:pPr>
        <w:pStyle w:val="Style16"/>
        <w:spacing w:before="0" w:after="0"/>
        <w:rPr/>
      </w:pPr>
      <w:r>
        <w:rPr/>
      </w:r>
    </w:p>
    <w:p>
      <w:pPr>
        <w:pStyle w:val="Style16"/>
        <w:spacing w:before="0" w:after="0"/>
        <w:rPr/>
      </w:pPr>
      <w:r>
        <w:rPr/>
        <w:t>Доступна фасовка</w:t>
      </w:r>
    </w:p>
    <w:p>
      <w:pPr>
        <w:pStyle w:val="Style16"/>
        <w:spacing w:before="0" w:after="0"/>
        <w:rPr/>
      </w:pPr>
      <w:r>
        <w:rPr/>
        <w:t>Мешки бумажные по 25кг</w:t>
      </w:r>
    </w:p>
    <w:sectPr>
      <w:type w:val="nextPage"/>
      <w:pgSz w:w="11906" w:h="16838"/>
      <w:pgMar w:left="1134" w:right="567" w:header="0" w:top="567" w:footer="0" w:bottom="567"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PT Sans">
    <w:charset w:val="01"/>
    <w:family w:val="swiss"/>
    <w:pitch w:val="variable"/>
  </w:font>
  <w:font w:name="Liberation Serif">
    <w:altName w:val="Times New Roman"/>
    <w:charset w:val="01"/>
    <w:family w:val="swiss"/>
    <w:pitch w:val="variable"/>
  </w:font>
  <w:font w:name="OpenSymbol">
    <w:altName w:val="Arial Unicode MS"/>
    <w:charset w:val="01"/>
    <w:family w:val="roman"/>
    <w:pitch w:val="variable"/>
  </w:font>
  <w:font w:name="Albany">
    <w:altName w:val="Arial"/>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pStyle w:val="2"/>
      <w:numFmt w:val="none"/>
      <w:suff w:val="nothing"/>
      <w:lvlText w:val=""/>
      <w:lvlJc w:val="left"/>
      <w:pPr>
        <w:ind w:left="0" w:hanging="0"/>
      </w:pPr>
    </w:lvl>
    <w:lvl w:ilvl="2">
      <w:start w:val="1"/>
      <w:pStyle w:val="3"/>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bering>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ource Han Sans CN Regular" w:cs="Lohit Devanagari"/>
        <w:szCs w:val="24"/>
        <w:lang w:val="ru-RU" w:eastAsia="zh-CN" w:bidi="hi-IN"/>
      </w:rPr>
    </w:rPrDefault>
    <w:pPrDefault>
      <w:pPr/>
    </w:pPrDefault>
  </w:docDefaults>
  <w:style w:type="paragraph" w:styleId="Normal">
    <w:name w:val="Normal"/>
    <w:qFormat/>
    <w:pPr>
      <w:widowControl w:val="false"/>
      <w:bidi w:val="0"/>
      <w:jc w:val="left"/>
    </w:pPr>
    <w:rPr>
      <w:rFonts w:ascii="Liberation Serif" w:hAnsi="Liberation Serif" w:eastAsia="Source Han Sans CN Regular" w:cs="Lohit Devanagari"/>
      <w:color w:val="00000A"/>
      <w:kern w:val="0"/>
      <w:sz w:val="24"/>
      <w:szCs w:val="24"/>
      <w:lang w:val="ru-RU" w:eastAsia="zh-CN" w:bidi="hi-IN"/>
    </w:rPr>
  </w:style>
  <w:style w:type="paragraph" w:styleId="1">
    <w:name w:val="Heading 1"/>
    <w:basedOn w:val="Style15"/>
    <w:qFormat/>
    <w:pPr>
      <w:spacing w:before="240" w:after="300"/>
      <w:jc w:val="left"/>
    </w:pPr>
    <w:rPr>
      <w:rFonts w:ascii="PT Sans" w:hAnsi="PT Sans" w:eastAsia="PT Sans" w:cs="PT Sans"/>
      <w:b/>
      <w:bCs/>
      <w:caps/>
      <w:color w:val="201E1E"/>
      <w:sz w:val="36"/>
      <w:szCs w:val="36"/>
    </w:rPr>
  </w:style>
  <w:style w:type="paragraph" w:styleId="2">
    <w:name w:val="Heading 2"/>
    <w:basedOn w:val="Style15"/>
    <w:qFormat/>
    <w:pPr>
      <w:numPr>
        <w:ilvl w:val="1"/>
        <w:numId w:val="1"/>
      </w:numPr>
      <w:spacing w:before="200" w:after="120"/>
      <w:outlineLvl w:val="1"/>
    </w:pPr>
    <w:rPr>
      <w:rFonts w:ascii="Liberation Serif" w:hAnsi="Liberation Serif" w:eastAsia="Source Han Sans CN Regular" w:cs="Lohit Devanagari"/>
      <w:b/>
      <w:bCs/>
      <w:sz w:val="36"/>
      <w:szCs w:val="36"/>
    </w:rPr>
  </w:style>
  <w:style w:type="paragraph" w:styleId="3">
    <w:name w:val="Heading 3"/>
    <w:basedOn w:val="Style15"/>
    <w:qFormat/>
    <w:pPr>
      <w:numPr>
        <w:ilvl w:val="2"/>
        <w:numId w:val="1"/>
      </w:numPr>
      <w:spacing w:before="140" w:after="120"/>
      <w:outlineLvl w:val="2"/>
    </w:pPr>
    <w:rPr>
      <w:rFonts w:ascii="Liberation Serif" w:hAnsi="Liberation Serif" w:eastAsia="Source Han Sans CN Regular" w:cs="Lohit Devanagari"/>
      <w:b/>
      <w:bCs/>
      <w:sz w:val="28"/>
      <w:szCs w:val="28"/>
    </w:rPr>
  </w:style>
  <w:style w:type="character" w:styleId="Style11">
    <w:name w:val="Символы концевой сноски"/>
    <w:qFormat/>
    <w:rPr/>
  </w:style>
  <w:style w:type="character" w:styleId="Style12">
    <w:name w:val="Символ сноски"/>
    <w:qFormat/>
    <w:rPr/>
  </w:style>
  <w:style w:type="character" w:styleId="Style13">
    <w:name w:val="Интернет-ссылка"/>
    <w:rPr>
      <w:color w:val="000080"/>
      <w:u w:val="single"/>
    </w:rPr>
  </w:style>
  <w:style w:type="character" w:styleId="Style14">
    <w:name w:val="Маркеры списка"/>
    <w:qFormat/>
    <w:rPr>
      <w:rFonts w:ascii="OpenSymbol" w:hAnsi="OpenSymbol" w:eastAsia="OpenSymbol" w:cs="OpenSymbol"/>
    </w:rPr>
  </w:style>
  <w:style w:type="character" w:styleId="Lang">
    <w:name w:val="lang"/>
    <w:qFormat/>
    <w:rPr/>
  </w:style>
  <w:style w:type="character" w:styleId="ListLabel1">
    <w:name w:val="ListLabel 1"/>
    <w:qFormat/>
    <w:rPr>
      <w:rFonts w:cs="OpenSymbol"/>
    </w:rPr>
  </w:style>
  <w:style w:type="character" w:styleId="ListLabel2">
    <w:name w:val="ListLabel 2"/>
    <w:qFormat/>
    <w:rPr>
      <w:rFonts w:cs="OpenSymbol"/>
    </w:rPr>
  </w:style>
  <w:style w:type="character" w:styleId="ListLabel3">
    <w:name w:val="ListLabel 3"/>
    <w:qFormat/>
    <w:rPr>
      <w:rFonts w:cs="OpenSymbol"/>
    </w:rPr>
  </w:style>
  <w:style w:type="character" w:styleId="ListLabel4">
    <w:name w:val="ListLabel 4"/>
    <w:qFormat/>
    <w:rPr>
      <w:rFonts w:cs="OpenSymbol"/>
    </w:rPr>
  </w:style>
  <w:style w:type="character" w:styleId="ListLabel5">
    <w:name w:val="ListLabel 5"/>
    <w:qFormat/>
    <w:rPr>
      <w:rFonts w:cs="OpenSymbol"/>
    </w:rPr>
  </w:style>
  <w:style w:type="character" w:styleId="ListLabel6">
    <w:name w:val="ListLabel 6"/>
    <w:qFormat/>
    <w:rPr>
      <w:rFonts w:cs="OpenSymbol"/>
    </w:rPr>
  </w:style>
  <w:style w:type="character" w:styleId="ListLabel7">
    <w:name w:val="ListLabel 7"/>
    <w:qFormat/>
    <w:rPr>
      <w:rFonts w:cs="OpenSymbol"/>
    </w:rPr>
  </w:style>
  <w:style w:type="character" w:styleId="ListLabel8">
    <w:name w:val="ListLabel 8"/>
    <w:qFormat/>
    <w:rPr>
      <w:rFonts w:cs="OpenSymbol"/>
    </w:rPr>
  </w:style>
  <w:style w:type="character" w:styleId="ListLabel9">
    <w:name w:val="ListLabel 9"/>
    <w:qFormat/>
    <w:rPr>
      <w:rFonts w:cs="OpenSymbol"/>
    </w:rPr>
  </w:style>
  <w:style w:type="paragraph" w:styleId="Style15">
    <w:name w:val="Заголовок"/>
    <w:basedOn w:val="Normal"/>
    <w:next w:val="Style16"/>
    <w:qFormat/>
    <w:pPr>
      <w:keepNext w:val="true"/>
      <w:spacing w:before="240" w:after="283"/>
    </w:pPr>
    <w:rPr>
      <w:rFonts w:ascii="Albany" w:hAnsi="Albany"/>
      <w:sz w:val="28"/>
      <w:szCs w:val="26"/>
    </w:rPr>
  </w:style>
  <w:style w:type="paragraph" w:styleId="Style16">
    <w:name w:val="Body Text"/>
    <w:basedOn w:val="Normal"/>
    <w:pPr>
      <w:spacing w:before="0" w:after="283"/>
    </w:pPr>
    <w:rPr/>
  </w:style>
  <w:style w:type="paragraph" w:styleId="Style17">
    <w:name w:val="List"/>
    <w:basedOn w:val="Style16"/>
    <w:pPr/>
    <w:rPr>
      <w:rFonts w:cs="Lohit Devanagari"/>
    </w:rPr>
  </w:style>
  <w:style w:type="paragraph" w:styleId="Style18">
    <w:name w:val="Caption"/>
    <w:basedOn w:val="Normal"/>
    <w:qFormat/>
    <w:pPr>
      <w:suppressLineNumbers/>
      <w:spacing w:before="120" w:after="120"/>
    </w:pPr>
    <w:rPr>
      <w:rFonts w:cs="Lohit Devanagari"/>
      <w:i/>
      <w:iCs/>
      <w:sz w:val="24"/>
      <w:szCs w:val="24"/>
    </w:rPr>
  </w:style>
  <w:style w:type="paragraph" w:styleId="Style19">
    <w:name w:val="Указатель"/>
    <w:basedOn w:val="Normal"/>
    <w:qFormat/>
    <w:pPr>
      <w:suppressLineNumbers/>
    </w:pPr>
    <w:rPr>
      <w:rFonts w:cs="Lohit Devanagari"/>
    </w:rPr>
  </w:style>
  <w:style w:type="paragraph" w:styleId="Style20">
    <w:name w:val="Горизонтальная линия"/>
    <w:basedOn w:val="Normal"/>
    <w:qFormat/>
    <w:pPr>
      <w:pBdr>
        <w:bottom w:val="double" w:sz="2" w:space="0" w:color="808080"/>
      </w:pBdr>
      <w:spacing w:before="0" w:after="283"/>
    </w:pPr>
    <w:rPr>
      <w:sz w:val="12"/>
    </w:rPr>
  </w:style>
  <w:style w:type="paragraph" w:styleId="Style21">
    <w:name w:val="Envelope Return"/>
    <w:basedOn w:val="Normal"/>
    <w:pPr/>
    <w:rPr>
      <w:i/>
    </w:rPr>
  </w:style>
  <w:style w:type="paragraph" w:styleId="Style22">
    <w:name w:val="Содержимое таблицы"/>
    <w:basedOn w:val="Style16"/>
    <w:qFormat/>
    <w:pPr/>
    <w:rPr/>
  </w:style>
  <w:style w:type="paragraph" w:styleId="Style23">
    <w:name w:val="Footer"/>
    <w:basedOn w:val="Normal"/>
    <w:pPr>
      <w:suppressLineNumbers/>
      <w:tabs>
        <w:tab w:val="center" w:pos="4818" w:leader="none"/>
        <w:tab w:val="right" w:pos="9637" w:leader="none"/>
      </w:tabs>
    </w:pPr>
    <w:rPr/>
  </w:style>
  <w:style w:type="paragraph" w:styleId="Style24">
    <w:name w:val="Header"/>
    <w:basedOn w:val="Normal"/>
    <w:pPr>
      <w:suppressLineNumbers/>
      <w:tabs>
        <w:tab w:val="center" w:pos="4818" w:leader="none"/>
        <w:tab w:val="right" w:pos="9637" w:leader="none"/>
      </w:tab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bmp"/><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7</TotalTime>
  <Application>LibreOffice/5.4.6.2$Linux_X86_64 LibreOffice_project/40$Build-2</Application>
  <Pages>1</Pages>
  <Words>19</Words>
  <Characters>170</Characters>
  <CharactersWithSpaces>180</CharactersWithSpaces>
  <Paragraphs>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ru-RU</dc:language>
  <cp:lastModifiedBy/>
  <dcterms:modified xsi:type="dcterms:W3CDTF">2018-06-14T09:42:48Z</dcterms:modified>
  <cp:revision>2</cp:revision>
  <dc:subject/>
  <dc:title/>
</cp:coreProperties>
</file>