
<file path=[Content_Types].xml><?xml version="1.0" encoding="utf-8"?>
<Types xmlns="http://schemas.openxmlformats.org/package/2006/content-types">
  <Override PartName="/_rels/.rels" ContentType="application/vnd.openxmlformats-package.relationships+xml"/>
  <Override PartName="/docProps/app.xml" ContentType="application/vnd.openxmlformats-officedocument.extended-properties+xml"/>
  <Override PartName="/docProps/core.xml" ContentType="application/vnd.openxmlformats-package.core-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standalone="yes"?>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w:body><w:p><w:pPr><w:pStyle w:val="Style16"/><w:rPr></w:rPr></w:pPr><w:r><w:rPr></w:rPr><w:drawing><wp:inline distT="0" distB="0" distL="0" distR="0"><wp:extent cx="3475990" cy="3508375"/><wp:effectExtent l="0" t="0" r="0" b="0"/><wp:docPr id="1" name="Изображение1" descr=""></wp:docPr><wp:cNvGraphicFramePr><a:graphicFrameLocks xmlns:a="http://schemas.openxmlformats.org/drawingml/2006/main" noChangeAspect="1"/></wp:cNvGraphicFramePr><a:graphic xmlns:a="http://schemas.openxmlformats.org/drawingml/2006/main"><a:graphicData uri="http://schemas.openxmlformats.org/drawingml/2006/picture"><pic:pic xmlns:pic="http://schemas.openxmlformats.org/drawingml/2006/picture"><pic:nvPicPr><pic:cNvPr id="1" name="Изображение1" descr=""></pic:cNvPr><pic:cNvPicPr><a:picLocks noChangeAspect="1" noChangeArrowheads="1"/></pic:cNvPicPr></pic:nvPicPr><pic:blipFill><a:blip r:embed="rId2"></a:blip><a:stretch><a:fillRect/></a:stretch></pic:blipFill><pic:spPr bwMode="auto"><a:xfrm><a:off x="0" y="0"/><a:ext cx="3475990" cy="3508375"/></a:xfrm><a:prstGeom prst="rect"><a:avLst/></a:prstGeom></pic:spPr></pic:pic></a:graphicData></a:graphic></wp:inline></w:drawing></w:r><w:r><w:rPr></w:rPr><w:t xml:space="preserve"> </w:t></w:r></w:p><w:p><w:pPr><w:pStyle w:val="1"/><w:rPr></w:rPr></w:pPr><w:r><w:rPr></w:rPr><w:t>Lupol GP3300</w:t></w:r><w:r><w:rPr></w:rPr><w:t xml:space="preserve"> </w:t></w:r></w:p><w:p><w:pPr><w:pStyle w:val="Style16"/><w:spacing w:before="0" w:after="0"/><w:rPr></w:rPr></w:pPr><w:r><w:rPr></w:rPr><w:t>Наличие на складе:</w:t></w:r></w:p><w:p><w:pPr><w:pStyle w:val="Style16"/><w:spacing w:before="0" w:after="0"/><w:rPr></w:rPr></w:pPr><w:r><w:rPr></w:rPr><w:t></w:t></w:r><w:r><w:rPr></w:rPr><w:t xml:space="preserve"> </w:t></w:r></w:p><w:p><w:pPr><w:pStyle w:val="Style16"/><w:spacing w:before="0" w:after="0"/><w:rPr></w:rPr></w:pPr><w:r><w:rPr></w:rPr></w:r></w:p><w:p><w:pPr><w:pStyle w:val="Style16"/><w:spacing w:before="0" w:after="0"/><w:rPr></w:rPr></w:pPr><w:r><w:rPr></w:rPr><w:t>Наши преимущества</w:t></w:r></w:p><w:p><w:pPr><w:pStyle w:val="Style16"/><w:spacing w:before="0" w:after="0"/><w:rPr></w:rPr></w:pPr><w:r><w:rPr></w:rPr><w:t><w:p><w:pPr><w:pStyle w:val="Style16"/><w:spacing w:before="0" w:after="0"/><w:rPr></w:rPr></w:pPr><w:r><w:rPr></w:rPr><w:t>    - Нефтехимический концерн с мировым именем</w:t></w:r></w:p><w:p><w:pPr><w:pStyle w:val="Style16"/><w:spacing w:before="0" w:after="0"/><w:rPr></w:rPr></w:pPr><w:r><w:rPr></w:rPr><w:t>    - Бесплатная консультация технолога;
</w:t></w:r></w:p><w:p><w:pPr><w:pStyle w:val="Style16"/><w:spacing w:before="0" w:after="0"/><w:rPr></w:rPr></w:pPr><w:r><w:rPr></w:rPr><w:t>    - Доставка в любой город России и СНГ;
</w:t></w:r></w:p><w:p><w:pPr><w:pStyle w:val="Style16"/><w:spacing w:before="0" w:after="0"/><w:rPr></w:rPr></w:pPr><w:r><w:rPr></w:rPr><w:t>    - Прямые поставки от производителя;</w:t></w:r></w:p></w:t></w:r></w:p><w:p><w:pPr><w:pStyle w:val="Style16"/><w:spacing w:before="0" w:after="0"/><w:rPr></w:rPr></w:pPr><w:r><w:rPr></w:rPr></w:r></w:p><w:p><w:pPr><w:pStyle w:val="2"/><w:numPr><w:ilvl w:val="1"/><w:numId w:val="1"/></w:numPr><w:rPr></w:rPr></w:pPr><w:r><w:rPr></w:rPr><w:t>Описание</w:t></w:r></w:p><w:p><w:pPr><w:pStyle w:val="Style16"/><w:rPr></w:rPr></w:pPr><w:r><w:rPr></w:rPr><w:t>  Представляем марку на основе гомопропилена с минеральным наполнением 30%. Компаундированный материал получил высокие эксплуатационные свойства и технологические качества, которые превосходят полистирол и поливинилхлорид. Конструкционный пластик востребован в различных областях промышленности и может быть переработан вторично.

  В компании Юсиджи можно оптом купить компаунд ПП Lupol GP3300 с доставкой по России и СНГ. Композиционный материал производится на заводах концерна LG Chem. На правах партнера мы получаем продукт без посредников. Достаточный страховой запас позволяет обеспечить ритмичные поставки высококачественного сырья на предприятия заказчиков.

Особенности
  Компаундирование гомопропилена обеспечивает заданные качества конструкционного материала и повышает эксплуатационные характеристики:

   	 Повышенная ударная прочность и жесткость. 
    	 Отличные литейные качества. 
    	 Химическая устойчивость. 
    	 Высокая светопропускающая способность. 
    	 Повышенная устойчивость к износу. 
    	 Крайне малое водопоглощение. 
    	 Способность сохранять механические и диэлектрические свойства при изменении температуры. 
    	 Устойчивость к микроорганизмам. 
    	 Отсутствие склонности к растрескиванию. 
    	 Возможность стерилизации паром.  
 

Область применения
  Материал постепенно вытесняет полистирол и ПВХ, а его «сфера влияния» постоянно расширяется:

  — Автомобильная промышленность.

  — Машино- и приборостроение. 

  — Фармакологическая промышленность.

  — Производство упаковки.

  — Транспорт.

  — Электроника и электротехника.

  — Производство синтетических волокон и нитей.

Преимущества сотрудничества с Юсиджи 
   	 Минералонаполненные компаунды поступают на региональные склады непосредственно с предприятий концерна LG Chem. Это позволяет снизить транспортные расходы и поддерживать ценовую политику на дружелюбном уровне. 
    	 Логистистическая служба работает в интересах заказчиков, поэтому оптовые партии сырья доставляются максимально быстро и с минимальными затратами. 
    	 Наши технологии бесплатно помогут с выбором сырья и проконсультируют насчет технологии его переработки. 
 

  Доверьте оптовые поставки полимеров надежному партнеру в лице Юсиджи!
</w:t></w:r></w:p><w:p><w:pPr><w:pStyle w:val="Style16"/><w:spacing w:before="0" w:after="0"/><w:rPr></w:rPr></w:pPr><w:r><w:rPr></w:rPr><w:t>Технические характеристики</w:t></w:r></w:p><w:p><w:pPr><w:pStyle w:val="Style16"/><w:spacing w:before="0" w:after="0"/><w:rPr></w:rPr></w:pPr><w:r><w:rPr></w:rPr><w:t><a href="/upload/iblock/7ae/7ae5febb378c7b6902b9d600abdd6d20.pdf" target="_blank">LUPOL GP3300 (pdf, 251кб)</a></w:t></w:r></w:p><w:p><w:pPr><w:pStyle w:val="Style16"/><w:spacing w:before="0" w:after="0"/><w:rPr></w:rPr></w:pPr><w:r><w:rPr></w:rPr></w:r></w:p><w:p><w:pPr><w:pStyle w:val="Style16"/><w:spacing w:before="0" w:after="0"/><w:rPr></w:rPr></w:pPr><w:r><w:rPr></w:rPr><w:t>Свойства марки</w:t></w:r></w:p><w:p><w:pPr><w:pStyle w:val="Style16"/><w:spacing w:before="0" w:after="0"/><w:rPr></w:rPr></w:pPr><w:r><w:rPr></w:rPr><w:t><span style="color: #0000ff;"><u>
<ul>
	<li>GP3300</li>
</ul>
 </u></span>Литье, на основе гомополипропилена, МВ 30%<br>
 <span style="color: #0000ff;"><u>
<ul>
	<li>GP3302</li>
</ul>
 </u></span>Литье, на основе блокполипропилена, МВ 30%</w:t></w:r><w:r><w:rPr></w:rPr><w:t xml:space="preserve"> </w:t></w:r></w:p><w:p><w:pPr><w:pStyle w:val="Style16"/><w:spacing w:before="0" w:after="0"/><w:rPr></w:rPr></w:pPr><w:r><w:rPr></w:rPr></w:r></w:p><w:p><w:pPr><w:pStyle w:val="Style16"/><w:spacing w:before="0" w:after="0"/><w:rPr></w:rPr></w:pPr><w:r><w:rPr></w:rPr><w:t>Доступна фасовка</w:t></w:r></w:p><w:p><w:pPr><w:pStyle w:val="Style16"/><w:spacing w:before="0" w:after="0"/><w:rPr></w:rPr></w:pPr><w:r><w:rPr></w:rPr><w:t>Мешки бумажные по 25кг</w:t></w:r></w:p><w:sectPr><w:type w:val="nextPage"/><w:pgSz w:w="11906" w:h="16838"/><w:pgMar w:left="1134" w:right="567" w:header="0" w:top="567" w:footer="0" w:bottom="567" w:gutter="0"/><w:pgNumType w:fmt="decimal"/><w:formProt w:val="false"/><w:textDirection w:val="lrTb"/><w:docGrid w:type="default" w:linePitch="100" w:charSpace="0"/></w:sectPr></w:body></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PT Sans">
    <w:charset w:val="01"/>
    <w:family w:val="swiss"/>
    <w:pitch w:val="variable"/>
  </w:font>
  <w:font w:name="Liberation Serif">
    <w:altName w:val="Times New Roman"/>
    <w:charset w:val="01"/>
    <w:family w:val="swiss"/>
    <w:pitch w:val="variable"/>
  </w:font>
  <w:font w:name="OpenSymbol">
    <w:altName w:val="Arial Unicode MS"/>
    <w:charset w:val="01"/>
    <w:family w:val="roman"/>
    <w:pitch w:val="variable"/>
  </w:font>
  <w:font w:name="Albany">
    <w:altName w:val="Arial"/>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pStyle w:val="3"/>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ource Han Sans CN Regular" w:cs="Lohit Devanagari"/>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ource Han Sans CN Regular" w:cs="Lohit Devanagari"/>
      <w:color w:val="00000A"/>
      <w:kern w:val="0"/>
      <w:sz w:val="24"/>
      <w:szCs w:val="24"/>
      <w:lang w:val="ru-RU" w:eastAsia="zh-CN" w:bidi="hi-IN"/>
    </w:rPr>
  </w:style>
  <w:style w:type="paragraph" w:styleId="1">
    <w:name w:val="Heading 1"/>
    <w:basedOn w:val="Style15"/>
    <w:qFormat/>
    <w:pPr>
      <w:spacing w:before="240" w:after="300"/>
      <w:jc w:val="left"/>
    </w:pPr>
    <w:rPr>
      <w:rFonts w:ascii="PT Sans" w:hAnsi="PT Sans" w:eastAsia="PT Sans" w:cs="PT Sans"/>
      <w:b/>
      <w:bCs/>
      <w:caps/>
      <w:color w:val="201E1E"/>
      <w:sz w:val="36"/>
      <w:szCs w:val="36"/>
    </w:rPr>
  </w:style>
  <w:style w:type="paragraph" w:styleId="2">
    <w:name w:val="Heading 2"/>
    <w:basedOn w:val="Style15"/>
    <w:qFormat/>
    <w:pPr>
      <w:numPr>
        <w:ilvl w:val="1"/>
        <w:numId w:val="1"/>
      </w:numPr>
      <w:spacing w:before="200" w:after="120"/>
      <w:outlineLvl w:val="1"/>
    </w:pPr>
    <w:rPr>
      <w:rFonts w:ascii="Liberation Serif" w:hAnsi="Liberation Serif" w:eastAsia="Source Han Sans CN Regular" w:cs="Lohit Devanagari"/>
      <w:b/>
      <w:bCs/>
      <w:sz w:val="36"/>
      <w:szCs w:val="36"/>
    </w:rPr>
  </w:style>
  <w:style w:type="paragraph" w:styleId="3">
    <w:name w:val="Heading 3"/>
    <w:basedOn w:val="Style15"/>
    <w:qFormat/>
    <w:pPr>
      <w:numPr>
        <w:ilvl w:val="2"/>
        <w:numId w:val="1"/>
      </w:numPr>
      <w:spacing w:before="140" w:after="120"/>
      <w:outlineLvl w:val="2"/>
    </w:pPr>
    <w:rPr>
      <w:rFonts w:ascii="Liberation Serif" w:hAnsi="Liberation Serif" w:eastAsia="Source Han Sans CN Regular" w:cs="Lohit Devanagari"/>
      <w:b/>
      <w:bCs/>
      <w:sz w:val="28"/>
      <w:szCs w:val="28"/>
    </w:rPr>
  </w:style>
  <w:style w:type="character" w:styleId="Style11">
    <w:name w:val="Символы концевой сноски"/>
    <w:qFormat/>
    <w:rPr/>
  </w:style>
  <w:style w:type="character" w:styleId="Style12">
    <w:name w:val="Символ сноски"/>
    <w:qFormat/>
    <w:rPr/>
  </w:style>
  <w:style w:type="character" w:styleId="Style13">
    <w:name w:val="Интернет-ссылка"/>
    <w:rPr>
      <w:color w:val="000080"/>
      <w:u w:val="single"/>
    </w:rPr>
  </w:style>
  <w:style w:type="character" w:styleId="Style14">
    <w:name w:val="Маркеры списка"/>
    <w:qFormat/>
    <w:rPr>
      <w:rFonts w:ascii="OpenSymbol" w:hAnsi="OpenSymbol" w:eastAsia="OpenSymbol" w:cs="OpenSymbol"/>
    </w:rPr>
  </w:style>
  <w:style w:type="character" w:styleId="Lang">
    <w:name w:val="lang"/>
    <w:qFormat/>
    <w:rPr/>
  </w:style>
  <w:style w:type="character" w:styleId="ListLabel1">
    <w:name w:val="ListLabel 1"/>
    <w:qFormat/>
    <w:rPr>
      <w:rFonts w:cs="OpenSymbol"/>
    </w:rPr>
  </w:style>
  <w:style w:type="character" w:styleId="ListLabel2">
    <w:name w:val="ListLabel 2"/>
    <w:qFormat/>
    <w:rPr>
      <w:rFonts w:cs="OpenSymbol"/>
    </w:rPr>
  </w:style>
  <w:style w:type="character" w:styleId="ListLabel3">
    <w:name w:val="ListLabel 3"/>
    <w:qFormat/>
    <w:rPr>
      <w:rFonts w:cs="OpenSymbol"/>
    </w:rPr>
  </w:style>
  <w:style w:type="character" w:styleId="ListLabel4">
    <w:name w:val="ListLabel 4"/>
    <w:qFormat/>
    <w:rPr>
      <w:rFonts w:cs="OpenSymbol"/>
    </w:rPr>
  </w:style>
  <w:style w:type="character" w:styleId="ListLabel5">
    <w:name w:val="ListLabel 5"/>
    <w:qFormat/>
    <w:rPr>
      <w:rFonts w:cs="OpenSymbol"/>
    </w:rPr>
  </w:style>
  <w:style w:type="character" w:styleId="ListLabel6">
    <w:name w:val="ListLabel 6"/>
    <w:qFormat/>
    <w:rPr>
      <w:rFonts w:cs="OpenSymbol"/>
    </w:rPr>
  </w:style>
  <w:style w:type="character" w:styleId="ListLabel7">
    <w:name w:val="ListLabel 7"/>
    <w:qFormat/>
    <w:rPr>
      <w:rFonts w:cs="OpenSymbol"/>
    </w:rPr>
  </w:style>
  <w:style w:type="character" w:styleId="ListLabel8">
    <w:name w:val="ListLabel 8"/>
    <w:qFormat/>
    <w:rPr>
      <w:rFonts w:cs="OpenSymbol"/>
    </w:rPr>
  </w:style>
  <w:style w:type="character" w:styleId="ListLabel9">
    <w:name w:val="ListLabel 9"/>
    <w:qFormat/>
    <w:rPr>
      <w:rFonts w:cs="OpenSymbol"/>
    </w:rPr>
  </w:style>
  <w:style w:type="paragraph" w:styleId="Style15">
    <w:name w:val="Заголовок"/>
    <w:basedOn w:val="Normal"/>
    <w:next w:val="Style16"/>
    <w:qFormat/>
    <w:pPr>
      <w:keepNext w:val="true"/>
      <w:spacing w:before="240" w:after="283"/>
    </w:pPr>
    <w:rPr>
      <w:rFonts w:ascii="Albany" w:hAnsi="Albany"/>
      <w:sz w:val="28"/>
      <w:szCs w:val="26"/>
    </w:rPr>
  </w:style>
  <w:style w:type="paragraph" w:styleId="Style16">
    <w:name w:val="Body Text"/>
    <w:basedOn w:val="Normal"/>
    <w:pPr>
      <w:spacing w:before="0" w:after="283"/>
    </w:pPr>
    <w:rPr/>
  </w:style>
  <w:style w:type="paragraph" w:styleId="Style17">
    <w:name w:val="List"/>
    <w:basedOn w:val="Style16"/>
    <w:pPr/>
    <w:rPr>
      <w:rFonts w:cs="Lohit Devanagari"/>
    </w:rPr>
  </w:style>
  <w:style w:type="paragraph" w:styleId="Style18">
    <w:name w:val="Caption"/>
    <w:basedOn w:val="Normal"/>
    <w:qFormat/>
    <w:pPr>
      <w:suppressLineNumbers/>
      <w:spacing w:before="120" w:after="120"/>
    </w:pPr>
    <w:rPr>
      <w:rFonts w:cs="Lohit Devanagari"/>
      <w:i/>
      <w:iCs/>
      <w:sz w:val="24"/>
      <w:szCs w:val="24"/>
    </w:rPr>
  </w:style>
  <w:style w:type="paragraph" w:styleId="Style19">
    <w:name w:val="Указатель"/>
    <w:basedOn w:val="Normal"/>
    <w:qFormat/>
    <w:pPr>
      <w:suppressLineNumbers/>
    </w:pPr>
    <w:rPr>
      <w:rFonts w:cs="Lohit Devanagari"/>
    </w:rPr>
  </w:style>
  <w:style w:type="paragraph" w:styleId="Style20">
    <w:name w:val="Горизонтальная линия"/>
    <w:basedOn w:val="Normal"/>
    <w:qFormat/>
    <w:pPr>
      <w:pBdr>
        <w:bottom w:val="double" w:sz="2" w:space="0" w:color="808080"/>
      </w:pBdr>
      <w:spacing w:before="0" w:after="283"/>
    </w:pPr>
    <w:rPr>
      <w:sz w:val="12"/>
    </w:rPr>
  </w:style>
  <w:style w:type="paragraph" w:styleId="Style21">
    <w:name w:val="Envelope Return"/>
    <w:basedOn w:val="Normal"/>
    <w:pPr/>
    <w:rPr>
      <w:i/>
    </w:rPr>
  </w:style>
  <w:style w:type="paragraph" w:styleId="Style22">
    <w:name w:val="Содержимое таблицы"/>
    <w:basedOn w:val="Style16"/>
    <w:qFormat/>
    <w:pPr/>
    <w:rPr/>
  </w:style>
  <w:style w:type="paragraph" w:styleId="Style23">
    <w:name w:val="Footer"/>
    <w:basedOn w:val="Normal"/>
    <w:pPr>
      <w:suppressLineNumbers/>
      <w:tabs>
        <w:tab w:val="center" w:pos="4818" w:leader="none"/>
        <w:tab w:val="right" w:pos="9637" w:leader="none"/>
      </w:tabs>
    </w:pPr>
    <w:rPr/>
  </w:style>
  <w:style w:type="paragraph" w:styleId="Style24">
    <w:name w:val="Header"/>
    <w:basedOn w:val="Normal"/>
    <w:pPr>
      <w:suppressLineNumbers/>
      <w:tabs>
        <w:tab w:val="center" w:pos="4818" w:leader="none"/>
        <w:tab w:val="right" w:pos="9637"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7</TotalTime>
  <Application>LibreOffice/5.4.6.2$Linux_X86_64 LibreOffice_project/40$Build-2</Application>
  <Pages>1</Pages>
  <Words>19</Words>
  <Characters>170</Characters>
  <CharactersWithSpaces>180</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ru-RU</dc:language>
  <cp:lastModifiedBy/>
  <dcterms:modified xsi:type="dcterms:W3CDTF">2018-06-14T09:42:48Z</dcterms:modified>
  <cp:revision>2</cp:revision>
  <dc:subject/>
  <dc:title/>
</cp:coreProperties>
</file>