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PPA95-125 Sino Linchem</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#описание#</w:t></w:r></w:p><w:p><w:pPr><w:pStyle w:val="Style16"/><w:spacing w:before="0" w:after="0"/><w:rPr></w:rPr></w:pPr><w:r><w:rPr></w:rPr><w:t>Технические характеристики</w:t></w:r></w:p><w:p><w:pPr><w:pStyle w:val="Style16"/><w:spacing w:before="0" w:after="0"/><w:rPr></w:rPr></w:pPr><w:r><w:rPr></w:rPr><w:t><a href="/upload/iblock/e3f/kw3s7f8kapqw2itg7sxodutw5gtn5uge.pdf" target="_blank">MSDS PPA 95-125 - Sino Linchem (pdf, 951.45кб)</a></w:t></w:r></w:p><w:p><w:pPr><w:pStyle w:val="Style16"/><w:spacing w:before="0" w:after="0"/><w:rPr></w:rPr></w:pPr><w:r><w:rPr></w:rPr></w:r></w:p><w:p><w:pPr><w:pStyle w:val="Style16"/><w:spacing w:before="0" w:after="0"/><w:rPr></w:rPr></w:pPr><w:r><w:rPr></w:rPr><w:t>Свойства марки</w:t></w:r></w:p><w:p><w:pPr><w:pStyle w:val="Style16"/><w:spacing w:before="0" w:after="0"/><w:rPr></w:rPr></w:pPr><w:r><w:rPr></w:rPr><w:t>Химическая стабильность: стабильна при нормальных температурах и давлениях.<br>
 Условия нестабильности: влажность. <br>
 Условия, которых следует избегать: несовместимые материалы, прямые солнечные лучи ,влажность.<br>
 Несовместимость с другими материалами: прочные основания, аммиак, мелкодисперсные металлы, органические пероксиды, каустики (например, аммиак, гидроксид аммония, гидроксид кальция, гидроксид калия, гидроксид натрия), цианиды (например, цианид калия, цианид натрия), фториды (неорганические, например, фторид аммония, фторид кальция, фторид цезия), галогенированные органические вещества (например, дибромэтан , гексахлорбензол , метилхлорид , трихлорэтилен ), меркаптаны и другие органические сульфиды (например, дибромэтан , гексахлорбензол , метилхлорид , трихлорэтилен). бутилмеркаптан , сероуглерод, метантиол ), нитрометан , тетрагидроборат натрия, сульфиты, минеральные кислоты, отбеливающий порошок, альдегиды, сильные щелочи, хлориды, карбонат никеля.<br>
 Опасная полимеризация: не произойдет<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