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SG 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Высокомолекулярный поливинилхлорид (ПВХ), изготовлен методом суспензионной полимеризации. Материал предназначен для экструзии профилей и листов, автомобильных интерьеров декоративных материалов, рекламных световых коробок, подошв обуви, рулонной пленки, надувных игрушек. Подходит для производства таких изделий из ПВХ как трубы, плиты, провода, кабели, искусственная кожа и линолеум. Соответствует требованиям стандарта GB/T 5761 2006 
 Свойства Условия испытания Ед. измерения SG8 SG5
 Вязкость  мл/г 73-86 118-107
 Константа Фикентчера (K)   55-59 66-68
 Количество примесей  частицы 40 30
 Содержание летучих веществ  % 0.40 0.40
 Насыпная плотность  г/мл 0.45 0.45
 Остаток на сите 0.25 мм  2.0 2.0
 Остаток на сите 0.063 мм  90 90
 Размер ячеек 400 см²  50 40
 Остаточное значение хлорэтилена  мг/кг 10 10
 Остаточное значение этилендихлорида  мкг/г 150 150
 Другие
 Белизна  % 70 75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e1/xalqf8jmekyhmoev0fny38cq21cytw4g.pdf" target="_blank">pvh_smola (pdf, 462.78кб)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