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ZHA-120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Хороший блеск, синяя фаза, мелкие частицы. Узкий гранулометрический состав, хорошая диспергируемость, высокая способность к обесцвечиванию, высокий коэффициент рассеяния, низкое маслопоглощение, низкое содержание железа и других примесей. Он используется в высокотехнологичных областях, таких как высококачественная латексная краска для внутренних стен, чернила, бумага, резина и т. д., а также подходит для общих областей, таких как краска, пластик (полиэфирные волокна и нити), лаки.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77/vocywmhkjj1pbhkw2x0jyr5b02g2am0y.pdf" target="_blank">ZHA120-TDS (pdf, 68.91кб)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